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kern w:val="0"/>
          <w:sz w:val="32"/>
          <w:szCs w:val="32"/>
        </w:rPr>
      </w:pPr>
    </w:p>
    <w:p>
      <w:pPr>
        <w:rPr>
          <w:rFonts w:hint="default" w:ascii="Times New Roman" w:hAnsi="Times New Roman" w:eastAsia="黑体" w:cs="Times New Roman"/>
          <w:kern w:val="0"/>
          <w:sz w:val="72"/>
          <w:szCs w:val="72"/>
        </w:rPr>
      </w:pPr>
    </w:p>
    <w:p>
      <w:pPr>
        <w:rPr>
          <w:rFonts w:hint="default" w:ascii="Times New Roman" w:hAnsi="Times New Roman" w:eastAsia="黑体" w:cs="Times New Roman"/>
          <w:kern w:val="0"/>
          <w:sz w:val="72"/>
          <w:szCs w:val="72"/>
        </w:rPr>
      </w:pPr>
    </w:p>
    <w:p>
      <w:pPr>
        <w:jc w:val="center"/>
        <w:rPr>
          <w:rFonts w:hint="default" w:ascii="Times New Roman" w:hAnsi="Times New Roman" w:eastAsia="黑体" w:cs="Times New Roman"/>
          <w:bCs/>
          <w:color w:val="000000"/>
          <w:sz w:val="52"/>
          <w:szCs w:val="52"/>
          <w:lang w:val="en-US" w:eastAsia="zh-CN"/>
        </w:rPr>
      </w:pPr>
      <w:r>
        <w:rPr>
          <w:rFonts w:hint="default" w:ascii="Times New Roman" w:hAnsi="Times New Roman" w:eastAsia="黑体" w:cs="Times New Roman"/>
          <w:kern w:val="0"/>
          <w:sz w:val="52"/>
          <w:szCs w:val="52"/>
        </w:rPr>
        <w:t>柳州市</w:t>
      </w:r>
      <w:r>
        <w:rPr>
          <w:rFonts w:hint="default" w:ascii="Times New Roman" w:hAnsi="Times New Roman" w:eastAsia="黑体" w:cs="Times New Roman"/>
          <w:kern w:val="0"/>
          <w:sz w:val="52"/>
          <w:szCs w:val="52"/>
          <w:lang w:eastAsia="zh-CN"/>
        </w:rPr>
        <w:t>信访信息中心</w:t>
      </w:r>
    </w:p>
    <w:p>
      <w:pPr>
        <w:jc w:val="center"/>
        <w:rPr>
          <w:rFonts w:hint="default" w:ascii="Times New Roman" w:hAnsi="Times New Roman" w:eastAsia="黑体" w:cs="Times New Roman"/>
          <w:kern w:val="0"/>
          <w:sz w:val="52"/>
          <w:szCs w:val="52"/>
        </w:rPr>
      </w:pPr>
      <w:r>
        <w:rPr>
          <w:rFonts w:hint="default" w:ascii="Times New Roman" w:hAnsi="Times New Roman" w:eastAsia="黑体" w:cs="Times New Roman"/>
          <w:kern w:val="0"/>
          <w:sz w:val="52"/>
          <w:szCs w:val="52"/>
        </w:rPr>
        <w:t>2020</w:t>
      </w:r>
      <w:r>
        <w:rPr>
          <w:rFonts w:hint="default" w:ascii="Times New Roman" w:hAnsi="Times New Roman" w:eastAsia="黑体" w:cs="Times New Roman"/>
          <w:kern w:val="0"/>
          <w:sz w:val="52"/>
          <w:szCs w:val="52"/>
        </w:rPr>
        <w:t>年度部门决算</w:t>
      </w: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jc w:val="center"/>
        <w:rPr>
          <w:rFonts w:hint="default" w:ascii="Times New Roman" w:hAnsi="Times New Roman" w:eastAsia="黑体" w:cs="Times New Roman"/>
          <w:kern w:val="0"/>
          <w:sz w:val="44"/>
          <w:szCs w:val="44"/>
        </w:rPr>
      </w:pPr>
    </w:p>
    <w:p>
      <w:pPr>
        <w:ind w:firstLine="646"/>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目    录</w:t>
      </w:r>
    </w:p>
    <w:p>
      <w:pPr>
        <w:ind w:firstLine="645"/>
        <w:rPr>
          <w:rFonts w:hint="default" w:ascii="Times New Roman" w:hAnsi="Times New Roman" w:eastAsia="仿宋_GB2312" w:cs="Times New Roman"/>
          <w:b/>
          <w:sz w:val="32"/>
          <w:szCs w:val="32"/>
        </w:rPr>
      </w:pPr>
    </w:p>
    <w:p>
      <w:pPr>
        <w:ind w:firstLine="645"/>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sz w:val="32"/>
          <w:szCs w:val="32"/>
          <w:u w:val="none"/>
        </w:rPr>
        <w:t>第一部分：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u w:val="none"/>
        </w:rPr>
        <w:t>概况</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一、主要职能</w:t>
      </w:r>
    </w:p>
    <w:p>
      <w:pPr>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rPr>
        <w:t>2020年部门决算报表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表一：收入支出决算总表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表二：收入决算表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表三：支出决算表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表四：财政拨款收入支出决算总表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表五：一般公共预算财政拨款支出决算表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表六：一般公共预算财政拨款基本支出决算表</w:t>
      </w:r>
    </w:p>
    <w:p>
      <w:pPr>
        <w:ind w:left="1605" w:leftChars="307"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表七：</w:t>
      </w:r>
      <w:r>
        <w:rPr>
          <w:rFonts w:hint="default" w:ascii="Times New Roman" w:hAnsi="Times New Roman" w:eastAsia="仿宋_GB2312" w:cs="Times New Roman"/>
          <w:sz w:val="28"/>
          <w:szCs w:val="28"/>
        </w:rPr>
        <w:t>一般公共预算财政拨款安排的“</w:t>
      </w:r>
      <w:r>
        <w:rPr>
          <w:rFonts w:hint="default" w:ascii="Times New Roman" w:hAnsi="Times New Roman" w:eastAsia="仿宋_GB2312" w:cs="Times New Roman"/>
          <w:sz w:val="28"/>
          <w:szCs w:val="28"/>
        </w:rPr>
        <w:t>三公</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经费</w:t>
      </w:r>
      <w:r>
        <w:rPr>
          <w:rFonts w:hint="default" w:ascii="Times New Roman" w:hAnsi="Times New Roman" w:eastAsia="仿宋_GB2312" w:cs="Times New Roman"/>
          <w:sz w:val="28"/>
          <w:szCs w:val="28"/>
        </w:rPr>
        <w:t>支出决算表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表八：政府性基金</w:t>
      </w:r>
      <w:r>
        <w:rPr>
          <w:rFonts w:hint="default" w:ascii="Times New Roman" w:hAnsi="Times New Roman" w:eastAsia="仿宋_GB2312" w:cs="Times New Roman"/>
          <w:sz w:val="32"/>
          <w:szCs w:val="32"/>
        </w:rPr>
        <w:t>预算财政拨款</w:t>
      </w:r>
      <w:r>
        <w:rPr>
          <w:rFonts w:hint="default" w:ascii="Times New Roman" w:hAnsi="Times New Roman" w:eastAsia="仿宋_GB2312" w:cs="Times New Roman"/>
          <w:sz w:val="32"/>
          <w:szCs w:val="32"/>
        </w:rPr>
        <w:t>收入支出决算表</w:t>
      </w:r>
    </w:p>
    <w:p>
      <w:pPr>
        <w:ind w:left="645"/>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lang w:eastAsia="zh-CN"/>
        </w:rPr>
        <w:t>表九：国有资本经营预算财政拨款支出决算表</w:t>
      </w:r>
    </w:p>
    <w:p>
      <w:pPr>
        <w:ind w:firstLine="645"/>
        <w:rPr>
          <w:rFonts w:hint="default" w:ascii="Times New Roman" w:hAnsi="Times New Roman" w:eastAsia="仿宋_GB2312" w:cs="Times New Roman"/>
          <w:b/>
          <w:sz w:val="28"/>
          <w:szCs w:val="28"/>
        </w:rPr>
      </w:pPr>
      <w:r>
        <w:rPr>
          <w:rFonts w:hint="default" w:ascii="Times New Roman" w:hAnsi="Times New Roman" w:eastAsia="仿宋_GB2312" w:cs="Times New Roman"/>
          <w:b/>
          <w:sz w:val="32"/>
          <w:szCs w:val="32"/>
        </w:rPr>
        <w:t>第三部分：</w:t>
      </w:r>
      <w:r>
        <w:rPr>
          <w:rFonts w:hint="default" w:ascii="Times New Roman" w:hAnsi="Times New Roman" w:eastAsia="仿宋_GB2312" w:cs="Times New Roman"/>
          <w:b/>
          <w:bCs/>
          <w:color w:val="000000"/>
          <w:sz w:val="28"/>
          <w:szCs w:val="28"/>
          <w:u w:val="none"/>
          <w:lang w:eastAsia="zh-CN"/>
        </w:rPr>
        <w:t>柳州市信访信息中心</w:t>
      </w:r>
      <w:r>
        <w:rPr>
          <w:rFonts w:hint="default" w:ascii="Times New Roman" w:hAnsi="Times New Roman" w:eastAsia="仿宋_GB2312" w:cs="Times New Roman"/>
          <w:b/>
          <w:sz w:val="28"/>
          <w:szCs w:val="28"/>
        </w:rPr>
        <w:t>2020年度部门决算情况说明</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rPr>
        <w:t>2020</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年度收入支出决算总体情况。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rPr>
        <w:t>2020</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年度收入决算情况。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kern w:val="0"/>
          <w:sz w:val="32"/>
          <w:szCs w:val="32"/>
        </w:rPr>
        <w:t>2020</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年度支出决算情况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w:t>
      </w:r>
      <w:r>
        <w:rPr>
          <w:rFonts w:hint="default" w:ascii="Times New Roman" w:hAnsi="Times New Roman" w:eastAsia="仿宋_GB2312" w:cs="Times New Roman"/>
          <w:kern w:val="0"/>
          <w:sz w:val="32"/>
          <w:szCs w:val="32"/>
        </w:rPr>
        <w:t>2020</w:t>
      </w:r>
      <w:r>
        <w:rPr>
          <w:rFonts w:hint="default" w:ascii="Times New Roman" w:hAnsi="Times New Roman" w:eastAsia="仿宋_GB2312" w:cs="Times New Roman"/>
          <w:kern w:val="0"/>
          <w:sz w:val="32"/>
          <w:szCs w:val="32"/>
        </w:rPr>
        <w:t>年度财政拨款收入支出决算情况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w:t>
      </w:r>
      <w:r>
        <w:rPr>
          <w:rFonts w:hint="default" w:ascii="Times New Roman" w:hAnsi="Times New Roman" w:eastAsia="仿宋_GB2312" w:cs="Times New Roman"/>
          <w:kern w:val="0"/>
          <w:sz w:val="32"/>
          <w:szCs w:val="32"/>
        </w:rPr>
        <w:t>2020</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年度一般公共预算财政拨款支出决算情况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rPr>
        <w:t>六、</w:t>
      </w:r>
      <w:r>
        <w:rPr>
          <w:rFonts w:hint="default" w:ascii="Times New Roman" w:hAnsi="Times New Roman" w:eastAsia="仿宋_GB2312" w:cs="Times New Roman"/>
          <w:kern w:val="0"/>
          <w:sz w:val="32"/>
          <w:szCs w:val="32"/>
        </w:rPr>
        <w:t>2020</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kern w:val="0"/>
          <w:sz w:val="32"/>
          <w:szCs w:val="32"/>
          <w:highlight w:val="none"/>
        </w:rPr>
        <w:t>一般公共预算财政拨款基本支出决算情况</w:t>
      </w:r>
    </w:p>
    <w:p>
      <w:pPr>
        <w:autoSpaceDE w:val="0"/>
        <w:autoSpaceDN w:val="0"/>
        <w:adjustRightInd w:val="0"/>
        <w:ind w:left="1278" w:leftChars="304" w:hanging="640" w:hanging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七、</w:t>
      </w:r>
      <w:r>
        <w:rPr>
          <w:rFonts w:hint="default" w:ascii="Times New Roman" w:hAnsi="Times New Roman" w:eastAsia="仿宋_GB2312" w:cs="Times New Roman"/>
          <w:kern w:val="0"/>
          <w:sz w:val="32"/>
          <w:szCs w:val="32"/>
          <w:highlight w:val="none"/>
        </w:rPr>
        <w:t>2020</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rPr>
        <w:t>年度一般公共预算财政拨款“三公”经费支出决算情况</w:t>
      </w:r>
    </w:p>
    <w:p>
      <w:pPr>
        <w:autoSpaceDE w:val="0"/>
        <w:autoSpaceDN w:val="0"/>
        <w:adjustRightInd w:val="0"/>
        <w:ind w:firstLine="640" w:firstLineChars="200"/>
        <w:jc w:val="left"/>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kern w:val="0"/>
          <w:sz w:val="32"/>
          <w:szCs w:val="32"/>
          <w:highlight w:val="none"/>
        </w:rPr>
        <w:t>八、</w:t>
      </w:r>
      <w:r>
        <w:rPr>
          <w:rFonts w:hint="default" w:ascii="Times New Roman" w:hAnsi="Times New Roman" w:eastAsia="仿宋_GB2312" w:cs="Times New Roman"/>
          <w:kern w:val="0"/>
          <w:sz w:val="32"/>
          <w:szCs w:val="32"/>
          <w:highlight w:val="none"/>
        </w:rPr>
        <w:t>2020</w:t>
      </w:r>
      <w:r>
        <w:rPr>
          <w:rFonts w:hint="default" w:ascii="Times New Roman" w:hAnsi="Times New Roman" w:eastAsia="仿宋_GB2312" w:cs="Times New Roman"/>
          <w:bCs/>
          <w:kern w:val="0"/>
          <w:sz w:val="32"/>
          <w:szCs w:val="32"/>
          <w:highlight w:val="none"/>
        </w:rPr>
        <w:t xml:space="preserve"> 年度政府性基金预算财政拨款收入</w:t>
      </w:r>
    </w:p>
    <w:p>
      <w:pPr>
        <w:autoSpaceDE w:val="0"/>
        <w:autoSpaceDN w:val="0"/>
        <w:adjustRightInd w:val="0"/>
        <w:ind w:firstLine="640" w:firstLineChars="200"/>
        <w:jc w:val="left"/>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支出决算情况</w:t>
      </w:r>
    </w:p>
    <w:p>
      <w:pPr>
        <w:ind w:left="645"/>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九、</w:t>
      </w:r>
      <w:r>
        <w:rPr>
          <w:rFonts w:hint="default" w:ascii="Times New Roman" w:hAnsi="Times New Roman" w:eastAsia="仿宋_GB2312" w:cs="Times New Roman"/>
          <w:sz w:val="32"/>
          <w:szCs w:val="32"/>
          <w:highlight w:val="none"/>
          <w:lang w:eastAsia="zh-CN"/>
        </w:rPr>
        <w:t>国有资本经营预算财政拨款支出决算情况</w:t>
      </w:r>
    </w:p>
    <w:p>
      <w:pPr>
        <w:autoSpaceDE w:val="0"/>
        <w:autoSpaceDN w:val="0"/>
        <w:adjustRightInd w:val="0"/>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eastAsia="zh-CN"/>
        </w:rPr>
        <w:t>十、</w:t>
      </w:r>
      <w:r>
        <w:rPr>
          <w:rFonts w:hint="default" w:ascii="Times New Roman" w:hAnsi="Times New Roman" w:eastAsia="仿宋_GB2312" w:cs="Times New Roman"/>
          <w:kern w:val="0"/>
          <w:sz w:val="32"/>
          <w:szCs w:val="32"/>
        </w:rPr>
        <w:t>2020</w:t>
      </w:r>
      <w:r>
        <w:rPr>
          <w:rFonts w:hint="default" w:ascii="Times New Roman" w:hAnsi="Times New Roman" w:eastAsia="仿宋_GB2312" w:cs="Times New Roman"/>
          <w:bCs/>
          <w:kern w:val="0"/>
          <w:sz w:val="32"/>
          <w:szCs w:val="32"/>
        </w:rPr>
        <w:t xml:space="preserve"> 年度预算绩效情况说明</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十</w:t>
      </w:r>
      <w:r>
        <w:rPr>
          <w:rFonts w:hint="default" w:ascii="Times New Roman" w:hAnsi="Times New Roman" w:eastAsia="仿宋_GB2312" w:cs="Times New Roman"/>
          <w:bCs/>
          <w:kern w:val="0"/>
          <w:sz w:val="32"/>
          <w:szCs w:val="32"/>
          <w:lang w:eastAsia="zh-CN"/>
        </w:rPr>
        <w:t>一</w:t>
      </w:r>
      <w:r>
        <w:rPr>
          <w:rFonts w:hint="default" w:ascii="Times New Roman" w:hAnsi="Times New Roman" w:eastAsia="仿宋_GB2312" w:cs="Times New Roman"/>
          <w:bCs/>
          <w:kern w:val="0"/>
          <w:sz w:val="32"/>
          <w:szCs w:val="32"/>
        </w:rPr>
        <w:t>、其他重要事项的情况说明</w:t>
      </w:r>
    </w:p>
    <w:p>
      <w:pPr>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第四部分：名词解释</w:t>
      </w:r>
    </w:p>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Cs/>
          <w:kern w:val="0"/>
          <w:sz w:val="32"/>
          <w:szCs w:val="32"/>
        </w:rPr>
        <w:br w:type="page"/>
      </w:r>
      <w:r>
        <w:rPr>
          <w:rFonts w:hint="default" w:ascii="Times New Roman" w:hAnsi="Times New Roman" w:eastAsia="仿宋_GB2312" w:cs="Times New Roman"/>
          <w:b/>
          <w:sz w:val="32"/>
          <w:szCs w:val="32"/>
        </w:rPr>
        <w:t>第一部分：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rPr>
        <w:t>概况</w:t>
      </w:r>
    </w:p>
    <w:p>
      <w:pPr>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kern w:val="0"/>
          <w:sz w:val="32"/>
          <w:szCs w:val="32"/>
          <w:lang w:val="en-US" w:eastAsia="zh-CN" w:bidi="ar-SA"/>
        </w:rPr>
      </w:pPr>
      <w:r>
        <w:rPr>
          <w:rFonts w:hint="default" w:ascii="Times New Roman" w:hAnsi="Times New Roman" w:eastAsia="仿宋_GB2312" w:cs="Times New Roman"/>
          <w:b w:val="0"/>
          <w:bCs/>
          <w:color w:val="000000"/>
          <w:kern w:val="0"/>
          <w:sz w:val="32"/>
          <w:szCs w:val="32"/>
          <w:lang w:val="en-US" w:eastAsia="zh-CN" w:bidi="ar-SA"/>
        </w:rPr>
        <w:t>1、</w:t>
      </w:r>
      <w:r>
        <w:rPr>
          <w:rFonts w:hint="default" w:ascii="Times New Roman" w:hAnsi="Times New Roman" w:eastAsia="仿宋_GB2312" w:cs="Times New Roman"/>
          <w:b w:val="0"/>
          <w:bCs/>
          <w:color w:val="000000"/>
          <w:kern w:val="0"/>
          <w:sz w:val="32"/>
          <w:szCs w:val="32"/>
          <w:lang w:val="en-US" w:eastAsia="zh-CN" w:bidi="ar-SA"/>
        </w:rPr>
        <w:t>为全市信访工作和信访信息系统提供服务和技术保障。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kern w:val="0"/>
          <w:sz w:val="32"/>
          <w:szCs w:val="32"/>
          <w:lang w:val="en-US" w:eastAsia="zh-CN" w:bidi="ar-SA"/>
        </w:rPr>
      </w:pPr>
      <w:r>
        <w:rPr>
          <w:rFonts w:hint="default" w:ascii="Times New Roman" w:hAnsi="Times New Roman" w:eastAsia="仿宋_GB2312" w:cs="Times New Roman"/>
          <w:b w:val="0"/>
          <w:bCs/>
          <w:color w:val="000000"/>
          <w:kern w:val="0"/>
          <w:sz w:val="32"/>
          <w:szCs w:val="32"/>
          <w:lang w:val="en-US" w:eastAsia="zh-CN" w:bidi="ar-SA"/>
        </w:rPr>
        <w:t>2、负责全市信访信息系统的建设、管理、维护、指导及业务培训工作；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kern w:val="0"/>
          <w:sz w:val="32"/>
          <w:szCs w:val="32"/>
          <w:lang w:val="en-US" w:eastAsia="zh-CN" w:bidi="ar-SA"/>
        </w:rPr>
      </w:pPr>
      <w:r>
        <w:rPr>
          <w:rFonts w:hint="default" w:ascii="Times New Roman" w:hAnsi="Times New Roman" w:eastAsia="仿宋_GB2312" w:cs="Times New Roman"/>
          <w:b w:val="0"/>
          <w:bCs/>
          <w:color w:val="000000"/>
          <w:kern w:val="0"/>
          <w:sz w:val="32"/>
          <w:szCs w:val="32"/>
          <w:lang w:val="en-US" w:eastAsia="zh-CN" w:bidi="ar-SA"/>
        </w:rPr>
        <w:t>3、</w:t>
      </w:r>
      <w:r>
        <w:rPr>
          <w:rFonts w:hint="default" w:ascii="Times New Roman" w:hAnsi="Times New Roman" w:eastAsia="仿宋_GB2312" w:cs="Times New Roman"/>
          <w:b w:val="0"/>
          <w:bCs/>
          <w:color w:val="000000"/>
          <w:kern w:val="0"/>
          <w:sz w:val="32"/>
          <w:szCs w:val="32"/>
          <w:lang w:val="en-US" w:eastAsia="zh-CN" w:bidi="ar-SA"/>
        </w:rPr>
        <w:t>负责网上信访数据统计分析、考核评估等基础业务工作。</w:t>
      </w:r>
    </w:p>
    <w:p>
      <w:pPr>
        <w:spacing w:line="720" w:lineRule="auto"/>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rPr>
        <w:t>2020年部门决算报表</w:t>
      </w:r>
    </w:p>
    <w:p>
      <w:pPr>
        <w:rPr>
          <w:rFonts w:hint="default" w:ascii="Times New Roman" w:hAnsi="Times New Roman" w:cs="Times New Roman"/>
        </w:rPr>
      </w:pPr>
    </w:p>
    <w:tbl>
      <w:tblPr>
        <w:tblStyle w:val="6"/>
        <w:tblW w:w="8940" w:type="dxa"/>
        <w:jc w:val="center"/>
        <w:tblLayout w:type="fixed"/>
        <w:tblCellMar>
          <w:top w:w="0" w:type="dxa"/>
          <w:left w:w="108" w:type="dxa"/>
          <w:bottom w:w="0" w:type="dxa"/>
          <w:right w:w="108" w:type="dxa"/>
        </w:tblCellMar>
      </w:tblPr>
      <w:tblGrid>
        <w:gridCol w:w="3527"/>
        <w:gridCol w:w="920"/>
        <w:gridCol w:w="3289"/>
        <w:gridCol w:w="919"/>
        <w:gridCol w:w="285"/>
      </w:tblGrid>
      <w:tr>
        <w:tblPrEx>
          <w:tblCellMar>
            <w:top w:w="0" w:type="dxa"/>
            <w:left w:w="108" w:type="dxa"/>
            <w:bottom w:w="0" w:type="dxa"/>
            <w:right w:w="108" w:type="dxa"/>
          </w:tblCellMar>
        </w:tblPrEx>
        <w:trPr>
          <w:gridAfter w:val="1"/>
          <w:wAfter w:w="285" w:type="dxa"/>
          <w:trHeight w:val="570" w:hRule="atLeast"/>
          <w:jc w:val="center"/>
        </w:trPr>
        <w:tc>
          <w:tcPr>
            <w:tcW w:w="8655" w:type="dxa"/>
            <w:gridSpan w:val="4"/>
            <w:tcBorders>
              <w:top w:val="nil"/>
              <w:left w:val="nil"/>
              <w:bottom w:val="nil"/>
              <w:right w:val="nil"/>
            </w:tcBorders>
            <w:vAlign w:val="bottom"/>
          </w:tcPr>
          <w:p>
            <w:pPr>
              <w:widowControl/>
              <w:jc w:val="center"/>
              <w:rPr>
                <w:rFonts w:hint="default" w:ascii="Times New Roman" w:hAnsi="Times New Roman" w:eastAsia="方正小标宋简体" w:cs="Times New Roman"/>
                <w:kern w:val="0"/>
                <w:sz w:val="36"/>
                <w:szCs w:val="36"/>
                <w:highlight w:val="none"/>
              </w:rPr>
            </w:pPr>
            <w:r>
              <w:rPr>
                <w:rFonts w:hint="default" w:ascii="Times New Roman" w:hAnsi="Times New Roman" w:eastAsia="方正小标宋简体" w:cs="Times New Roman"/>
                <w:kern w:val="0"/>
                <w:sz w:val="36"/>
                <w:szCs w:val="36"/>
                <w:highlight w:val="none"/>
              </w:rPr>
              <w:t>表一：收入支出决算总表</w:t>
            </w:r>
          </w:p>
          <w:p>
            <w:pPr>
              <w:widowControl/>
              <w:jc w:val="right"/>
              <w:rPr>
                <w:rFonts w:hint="default"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单位：万元</w:t>
            </w:r>
          </w:p>
        </w:tc>
      </w:tr>
      <w:tr>
        <w:tblPrEx>
          <w:tblCellMar>
            <w:top w:w="0" w:type="dxa"/>
            <w:left w:w="108" w:type="dxa"/>
            <w:bottom w:w="0" w:type="dxa"/>
            <w:right w:w="108" w:type="dxa"/>
          </w:tblCellMar>
        </w:tblPrEx>
        <w:trPr>
          <w:trHeight w:val="270" w:hRule="atLeast"/>
          <w:jc w:val="center"/>
        </w:trPr>
        <w:tc>
          <w:tcPr>
            <w:tcW w:w="4447"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收    入</w:t>
            </w:r>
          </w:p>
        </w:tc>
        <w:tc>
          <w:tcPr>
            <w:tcW w:w="4493"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支    出</w:t>
            </w:r>
          </w:p>
        </w:tc>
      </w:tr>
      <w:tr>
        <w:tblPrEx>
          <w:tblCellMar>
            <w:top w:w="0" w:type="dxa"/>
            <w:left w:w="108" w:type="dxa"/>
            <w:bottom w:w="0" w:type="dxa"/>
            <w:right w:w="108" w:type="dxa"/>
          </w:tblCellMar>
        </w:tblPrEx>
        <w:trPr>
          <w:trHeight w:val="270"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项目</w:t>
            </w: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决算数</w:t>
            </w:r>
          </w:p>
        </w:tc>
        <w:tc>
          <w:tcPr>
            <w:tcW w:w="328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项目</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决算数</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r>
              <w:rPr>
                <w:rFonts w:hint="default" w:ascii="Times New Roman" w:hAnsi="Times New Roman" w:cs="Times New Roman"/>
                <w:color w:val="000000"/>
                <w:kern w:val="0"/>
                <w:sz w:val="22"/>
                <w:szCs w:val="22"/>
                <w:highlight w:val="none"/>
              </w:rPr>
              <w:t>一、</w:t>
            </w:r>
            <w:r>
              <w:rPr>
                <w:rFonts w:hint="default" w:ascii="Times New Roman" w:hAnsi="Times New Roman" w:cs="Times New Roman"/>
                <w:color w:val="000000"/>
                <w:kern w:val="0"/>
                <w:sz w:val="22"/>
                <w:szCs w:val="22"/>
                <w:highlight w:val="none"/>
                <w:lang w:eastAsia="zh-CN"/>
              </w:rPr>
              <w:t>一般公共预算财政拨款收入</w:t>
            </w: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59.85</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一、一般公共服务支出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49.55</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r>
              <w:rPr>
                <w:rFonts w:hint="default" w:ascii="Times New Roman" w:hAnsi="Times New Roman" w:cs="Times New Roman"/>
                <w:color w:val="000000"/>
                <w:kern w:val="0"/>
                <w:sz w:val="22"/>
                <w:szCs w:val="22"/>
                <w:highlight w:val="none"/>
              </w:rPr>
              <w:t>二、</w:t>
            </w:r>
            <w:r>
              <w:rPr>
                <w:rFonts w:hint="default" w:ascii="Times New Roman" w:hAnsi="Times New Roman" w:cs="Times New Roman"/>
                <w:color w:val="000000"/>
                <w:kern w:val="0"/>
                <w:sz w:val="22"/>
                <w:szCs w:val="22"/>
                <w:highlight w:val="none"/>
                <w:lang w:eastAsia="zh-CN"/>
              </w:rPr>
              <w:t>政府性基金预算财政拨款收入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二、外交支出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三</w:t>
            </w:r>
            <w:r>
              <w:rPr>
                <w:rFonts w:hint="default" w:ascii="Times New Roman" w:hAnsi="Times New Roman" w:cs="Times New Roman"/>
                <w:color w:val="000000"/>
                <w:kern w:val="0"/>
                <w:sz w:val="22"/>
                <w:szCs w:val="22"/>
                <w:highlight w:val="none"/>
              </w:rPr>
              <w:t>、</w:t>
            </w:r>
            <w:r>
              <w:rPr>
                <w:rFonts w:hint="default" w:ascii="Times New Roman" w:hAnsi="Times New Roman" w:cs="Times New Roman"/>
                <w:color w:val="000000"/>
                <w:kern w:val="0"/>
                <w:sz w:val="22"/>
                <w:szCs w:val="22"/>
                <w:highlight w:val="none"/>
                <w:lang w:eastAsia="zh-CN"/>
              </w:rPr>
              <w:t>上级补助</w:t>
            </w:r>
            <w:r>
              <w:rPr>
                <w:rFonts w:hint="default" w:ascii="Times New Roman" w:hAnsi="Times New Roman" w:cs="Times New Roman"/>
                <w:color w:val="000000"/>
                <w:kern w:val="0"/>
                <w:sz w:val="22"/>
                <w:szCs w:val="22"/>
                <w:highlight w:val="none"/>
              </w:rPr>
              <w:t>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三、国防支出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四</w:t>
            </w:r>
            <w:r>
              <w:rPr>
                <w:rFonts w:hint="default" w:ascii="Times New Roman" w:hAnsi="Times New Roman" w:cs="Times New Roman"/>
                <w:color w:val="000000"/>
                <w:kern w:val="0"/>
                <w:sz w:val="22"/>
                <w:szCs w:val="22"/>
                <w:highlight w:val="none"/>
              </w:rPr>
              <w:t>、</w:t>
            </w:r>
            <w:r>
              <w:rPr>
                <w:rFonts w:hint="default" w:ascii="Times New Roman" w:hAnsi="Times New Roman" w:cs="Times New Roman"/>
                <w:color w:val="000000"/>
                <w:kern w:val="0"/>
                <w:sz w:val="22"/>
                <w:szCs w:val="22"/>
                <w:highlight w:val="none"/>
                <w:lang w:eastAsia="zh-CN"/>
              </w:rPr>
              <w:t>事业</w:t>
            </w:r>
            <w:r>
              <w:rPr>
                <w:rFonts w:hint="default" w:ascii="Times New Roman" w:hAnsi="Times New Roman" w:cs="Times New Roman"/>
                <w:color w:val="000000"/>
                <w:kern w:val="0"/>
                <w:sz w:val="22"/>
                <w:szCs w:val="22"/>
                <w:highlight w:val="none"/>
              </w:rPr>
              <w:t>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四、公共安全支出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五</w:t>
            </w:r>
            <w:r>
              <w:rPr>
                <w:rFonts w:hint="default" w:ascii="Times New Roman" w:hAnsi="Times New Roman" w:cs="Times New Roman"/>
                <w:color w:val="000000"/>
                <w:kern w:val="0"/>
                <w:sz w:val="22"/>
                <w:szCs w:val="22"/>
                <w:highlight w:val="none"/>
              </w:rPr>
              <w:t>、</w:t>
            </w:r>
            <w:r>
              <w:rPr>
                <w:rFonts w:hint="default" w:ascii="Times New Roman" w:hAnsi="Times New Roman" w:cs="Times New Roman"/>
                <w:color w:val="000000"/>
                <w:kern w:val="0"/>
                <w:sz w:val="22"/>
                <w:szCs w:val="22"/>
                <w:highlight w:val="none"/>
                <w:lang w:eastAsia="zh-CN"/>
              </w:rPr>
              <w:t>经营</w:t>
            </w:r>
            <w:r>
              <w:rPr>
                <w:rFonts w:hint="default" w:ascii="Times New Roman" w:hAnsi="Times New Roman" w:cs="Times New Roman"/>
                <w:color w:val="000000"/>
                <w:kern w:val="0"/>
                <w:sz w:val="22"/>
                <w:szCs w:val="22"/>
                <w:highlight w:val="none"/>
              </w:rPr>
              <w:t>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五、教育支出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r>
              <w:rPr>
                <w:rFonts w:hint="default" w:ascii="Times New Roman" w:hAnsi="Times New Roman" w:cs="Times New Roman"/>
                <w:color w:val="000000"/>
                <w:kern w:val="0"/>
                <w:sz w:val="22"/>
                <w:szCs w:val="22"/>
                <w:highlight w:val="none"/>
                <w:lang w:eastAsia="zh-CN"/>
              </w:rPr>
              <w:t>六、附属单位上缴收入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六、科学技术支出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七</w:t>
            </w:r>
            <w:r>
              <w:rPr>
                <w:rFonts w:hint="default" w:ascii="Times New Roman" w:hAnsi="Times New Roman" w:cs="Times New Roman"/>
                <w:color w:val="000000"/>
                <w:kern w:val="0"/>
                <w:sz w:val="22"/>
                <w:szCs w:val="22"/>
                <w:highlight w:val="none"/>
              </w:rPr>
              <w:t>、其他收入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七、文化旅游体育与传媒支出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八、社会保障和就业支出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4.77</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九、卫生健康支出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1.23</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十、节能环保支出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十一、城乡社区支出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十二、农林水支出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十三、交通运输支出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十四、资源勘探信息等支出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十五、商业服务业等支出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十六、金融支出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十七、援助其他地区支出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十八、自然资源海洋气象等支出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十九、住房保障支出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lang w:val="en-US" w:eastAsia="zh-CN" w:bidi="ar-SA"/>
              </w:rPr>
              <w:t>3.00</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二十、粮油物资储备支出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二十一、灾害防治及应急管理支出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二十二、其他支出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二十三、债务还本支出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二十四、债务付息支出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本年收入合计</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lang w:val="en-US" w:eastAsia="zh-CN"/>
              </w:rPr>
              <w:t>59.85</w:t>
            </w: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本年支出合计</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cs="Times New Roman"/>
                <w:b/>
                <w:color w:val="000000"/>
                <w:kern w:val="0"/>
                <w:sz w:val="22"/>
                <w:szCs w:val="22"/>
                <w:highlight w:val="none"/>
                <w:lang w:val="en-US" w:eastAsia="zh-CN"/>
              </w:rPr>
              <w:t>58.54</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　用事业基金弥补收支差额</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结余分配</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　年</w:t>
            </w:r>
            <w:r>
              <w:rPr>
                <w:rFonts w:hint="default" w:ascii="Times New Roman" w:hAnsi="Times New Roman" w:cs="Times New Roman"/>
                <w:color w:val="000000"/>
                <w:kern w:val="0"/>
                <w:sz w:val="22"/>
                <w:szCs w:val="22"/>
                <w:highlight w:val="none"/>
                <w:lang w:eastAsia="zh-CN"/>
              </w:rPr>
              <w:t>初</w:t>
            </w:r>
            <w:r>
              <w:rPr>
                <w:rFonts w:hint="default" w:ascii="Times New Roman" w:hAnsi="Times New Roman" w:cs="Times New Roman"/>
                <w:color w:val="000000"/>
                <w:kern w:val="0"/>
                <w:sz w:val="22"/>
                <w:szCs w:val="22"/>
                <w:highlight w:val="none"/>
              </w:rPr>
              <w:t>结转</w:t>
            </w:r>
            <w:r>
              <w:rPr>
                <w:rFonts w:hint="default" w:ascii="Times New Roman" w:hAnsi="Times New Roman" w:cs="Times New Roman"/>
                <w:color w:val="000000"/>
                <w:kern w:val="0"/>
                <w:sz w:val="22"/>
                <w:szCs w:val="22"/>
                <w:highlight w:val="none"/>
                <w:lang w:eastAsia="zh-CN"/>
              </w:rPr>
              <w:t>和结余</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lang w:val="en-US" w:eastAsia="zh-CN"/>
              </w:rPr>
              <w:t>1.06</w:t>
            </w: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年末结转与结余</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cs="Times New Roman"/>
                <w:i w:val="0"/>
                <w:color w:val="000000"/>
                <w:kern w:val="0"/>
                <w:sz w:val="22"/>
                <w:szCs w:val="22"/>
                <w:highlight w:val="none"/>
                <w:u w:val="none"/>
                <w:lang w:val="en-US" w:eastAsia="zh-CN" w:bidi="ar"/>
              </w:rPr>
              <w:t>2.38</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收入总计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cs="Times New Roman"/>
                <w:b/>
                <w:color w:val="000000"/>
                <w:kern w:val="0"/>
                <w:sz w:val="22"/>
                <w:szCs w:val="22"/>
                <w:highlight w:val="none"/>
                <w:lang w:val="en-US" w:eastAsia="zh-CN"/>
              </w:rPr>
              <w:t>60.92</w:t>
            </w: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支出总计</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cs="Times New Roman"/>
                <w:b/>
                <w:color w:val="000000"/>
                <w:kern w:val="0"/>
                <w:sz w:val="22"/>
                <w:szCs w:val="22"/>
                <w:highlight w:val="none"/>
                <w:lang w:val="en-US" w:eastAsia="zh-CN"/>
              </w:rPr>
              <w:t>60</w:t>
            </w:r>
            <w:r>
              <w:rPr>
                <w:rFonts w:hint="default" w:ascii="Times New Roman" w:hAnsi="Times New Roman" w:cs="Times New Roman"/>
                <w:b/>
                <w:color w:val="000000"/>
                <w:kern w:val="0"/>
                <w:sz w:val="22"/>
                <w:szCs w:val="22"/>
                <w:highlight w:val="none"/>
                <w:lang w:val="en-US" w:eastAsia="zh-CN"/>
              </w:rPr>
              <w:t>.92</w:t>
            </w:r>
          </w:p>
        </w:tc>
      </w:tr>
    </w:tbl>
    <w:p>
      <w:pPr>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701" w:left="1588" w:header="851" w:footer="992" w:gutter="0"/>
          <w:cols w:space="720" w:num="1"/>
          <w:docGrid w:type="lines" w:linePitch="312" w:charSpace="0"/>
        </w:sectPr>
      </w:pPr>
      <w:r>
        <w:rPr>
          <w:rFonts w:hint="default" w:ascii="Times New Roman" w:hAnsi="Times New Roman" w:cs="Times New Roman"/>
        </w:rPr>
        <w:t>注：本表反映部门本年度的总收支和年末结转结余情况。</w:t>
      </w:r>
    </w:p>
    <w:p>
      <w:pPr>
        <w:jc w:val="center"/>
        <w:rPr>
          <w:rFonts w:hint="default" w:ascii="Times New Roman" w:hAnsi="Times New Roman" w:cs="Times New Roman"/>
        </w:rPr>
      </w:pPr>
      <w:r>
        <w:rPr>
          <w:rFonts w:hint="default" w:ascii="Times New Roman" w:hAnsi="Times New Roman" w:eastAsia="方正小标宋简体" w:cs="Times New Roman"/>
          <w:kern w:val="0"/>
          <w:sz w:val="36"/>
          <w:szCs w:val="36"/>
        </w:rPr>
        <w:t>表二：收入决算表</w:t>
      </w:r>
    </w:p>
    <w:p>
      <w:pPr>
        <w:jc w:val="right"/>
        <w:rPr>
          <w:rFonts w:hint="default" w:ascii="Times New Roman" w:hAnsi="Times New Roman" w:cs="Times New Roman"/>
          <w:sz w:val="22"/>
          <w:szCs w:val="22"/>
        </w:rPr>
      </w:pPr>
      <w:r>
        <w:rPr>
          <w:rFonts w:hint="default" w:ascii="Times New Roman" w:hAnsi="Times New Roman" w:cs="Times New Roman"/>
          <w:sz w:val="22"/>
          <w:szCs w:val="22"/>
        </w:rPr>
        <w:t xml:space="preserve">单位：万元                     </w:t>
      </w:r>
    </w:p>
    <w:tbl>
      <w:tblPr>
        <w:tblStyle w:val="6"/>
        <w:tblW w:w="14140" w:type="dxa"/>
        <w:jc w:val="center"/>
        <w:tblLayout w:type="fixed"/>
        <w:tblCellMar>
          <w:top w:w="0" w:type="dxa"/>
          <w:left w:w="108" w:type="dxa"/>
          <w:bottom w:w="0" w:type="dxa"/>
          <w:right w:w="108" w:type="dxa"/>
        </w:tblCellMar>
      </w:tblPr>
      <w:tblGrid>
        <w:gridCol w:w="1773"/>
        <w:gridCol w:w="4509"/>
        <w:gridCol w:w="1148"/>
        <w:gridCol w:w="995"/>
        <w:gridCol w:w="1011"/>
        <w:gridCol w:w="771"/>
        <w:gridCol w:w="1303"/>
        <w:gridCol w:w="1800"/>
        <w:gridCol w:w="830"/>
      </w:tblGrid>
      <w:tr>
        <w:tblPrEx>
          <w:tblCellMar>
            <w:top w:w="0" w:type="dxa"/>
            <w:left w:w="108" w:type="dxa"/>
            <w:bottom w:w="0" w:type="dxa"/>
            <w:right w:w="108" w:type="dxa"/>
          </w:tblCellMar>
        </w:tblPrEx>
        <w:trPr>
          <w:trHeight w:val="288" w:hRule="atLeast"/>
          <w:jc w:val="center"/>
        </w:trPr>
        <w:tc>
          <w:tcPr>
            <w:tcW w:w="6282" w:type="dxa"/>
            <w:gridSpan w:val="2"/>
            <w:tcBorders>
              <w:top w:val="single" w:color="auto" w:sz="4" w:space="0"/>
              <w:left w:val="single" w:color="auto" w:sz="4" w:space="0"/>
              <w:bottom w:val="single" w:color="auto" w:sz="4" w:space="0"/>
              <w:right w:val="single" w:color="000000"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支出功能项 目</w:t>
            </w:r>
          </w:p>
        </w:tc>
        <w:tc>
          <w:tcPr>
            <w:tcW w:w="11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本年收入合计</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财政拨款收入</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上级补助收入</w:t>
            </w:r>
          </w:p>
        </w:tc>
        <w:tc>
          <w:tcPr>
            <w:tcW w:w="771"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事业收入</w:t>
            </w:r>
          </w:p>
          <w:p>
            <w:pPr>
              <w:widowControl/>
              <w:jc w:val="left"/>
              <w:rPr>
                <w:rFonts w:hint="default" w:ascii="Times New Roman" w:hAnsi="Times New Roman" w:cs="Times New Roman"/>
                <w:color w:val="000000"/>
                <w:kern w:val="0"/>
                <w:sz w:val="22"/>
                <w:szCs w:val="22"/>
              </w:rPr>
            </w:pP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经营收入</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附属单位上缴收入</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其他收入</w:t>
            </w:r>
          </w:p>
        </w:tc>
      </w:tr>
      <w:tr>
        <w:tblPrEx>
          <w:tblCellMar>
            <w:top w:w="0" w:type="dxa"/>
            <w:left w:w="108" w:type="dxa"/>
            <w:bottom w:w="0" w:type="dxa"/>
            <w:right w:w="108" w:type="dxa"/>
          </w:tblCellMar>
        </w:tblPrEx>
        <w:trPr>
          <w:trHeight w:val="288" w:hRule="atLeast"/>
          <w:jc w:val="center"/>
        </w:trPr>
        <w:tc>
          <w:tcPr>
            <w:tcW w:w="1773"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支出功能分类科目编码</w:t>
            </w:r>
          </w:p>
        </w:tc>
        <w:tc>
          <w:tcPr>
            <w:tcW w:w="4509"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科目名称</w:t>
            </w: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771"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6282"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b/>
                <w:bCs/>
                <w:kern w:val="0"/>
                <w:sz w:val="22"/>
                <w:szCs w:val="22"/>
              </w:rPr>
              <w:t>栏次</w:t>
            </w:r>
          </w:p>
        </w:tc>
        <w:tc>
          <w:tcPr>
            <w:tcW w:w="114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1</w:t>
            </w:r>
          </w:p>
        </w:tc>
        <w:tc>
          <w:tcPr>
            <w:tcW w:w="995"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2</w:t>
            </w:r>
          </w:p>
        </w:tc>
        <w:tc>
          <w:tcPr>
            <w:tcW w:w="1011"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3</w:t>
            </w:r>
          </w:p>
        </w:tc>
        <w:tc>
          <w:tcPr>
            <w:tcW w:w="771"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4</w:t>
            </w:r>
          </w:p>
        </w:tc>
        <w:tc>
          <w:tcPr>
            <w:tcW w:w="1303" w:type="dxa"/>
            <w:tcBorders>
              <w:top w:val="nil"/>
              <w:left w:val="nil"/>
              <w:bottom w:val="single" w:color="auto" w:sz="4" w:space="0"/>
              <w:right w:val="single" w:color="auto" w:sz="4" w:space="0"/>
            </w:tcBorders>
          </w:tcPr>
          <w:p>
            <w:pPr>
              <w:widowControl/>
              <w:ind w:firstLine="660" w:firstLineChars="300"/>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5</w:t>
            </w:r>
          </w:p>
        </w:tc>
        <w:tc>
          <w:tcPr>
            <w:tcW w:w="1800" w:type="dxa"/>
            <w:tcBorders>
              <w:top w:val="nil"/>
              <w:left w:val="nil"/>
              <w:bottom w:val="single" w:color="auto" w:sz="4" w:space="0"/>
              <w:right w:val="single" w:color="auto" w:sz="4" w:space="0"/>
            </w:tcBorders>
          </w:tcPr>
          <w:p>
            <w:pPr>
              <w:widowControl/>
              <w:ind w:firstLine="660" w:firstLineChars="300"/>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6</w:t>
            </w:r>
          </w:p>
        </w:tc>
        <w:tc>
          <w:tcPr>
            <w:tcW w:w="83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7</w:t>
            </w:r>
          </w:p>
        </w:tc>
      </w:tr>
      <w:tr>
        <w:tblPrEx>
          <w:tblCellMar>
            <w:top w:w="0" w:type="dxa"/>
            <w:left w:w="108" w:type="dxa"/>
            <w:bottom w:w="0" w:type="dxa"/>
            <w:right w:w="108" w:type="dxa"/>
          </w:tblCellMar>
        </w:tblPrEx>
        <w:trPr>
          <w:trHeight w:val="288" w:hRule="atLeast"/>
          <w:jc w:val="center"/>
        </w:trPr>
        <w:tc>
          <w:tcPr>
            <w:tcW w:w="628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highlight w:val="none"/>
              </w:rPr>
              <w:t>合计</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59.85 </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59.85 </w:t>
            </w:r>
          </w:p>
        </w:tc>
        <w:tc>
          <w:tcPr>
            <w:tcW w:w="1011"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450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一般公共服务支出</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50.78 </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50.78 </w:t>
            </w:r>
          </w:p>
        </w:tc>
        <w:tc>
          <w:tcPr>
            <w:tcW w:w="1011"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nil"/>
              <w:left w:val="nil"/>
              <w:bottom w:val="single" w:color="auto" w:sz="4" w:space="0"/>
              <w:right w:val="single" w:color="auto" w:sz="4" w:space="0"/>
            </w:tcBorders>
          </w:tcPr>
          <w:p>
            <w:pPr>
              <w:widowControl/>
              <w:ind w:firstLine="880" w:firstLineChars="4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nil"/>
              <w:left w:val="nil"/>
              <w:bottom w:val="single" w:color="auto" w:sz="4" w:space="0"/>
              <w:right w:val="single" w:color="auto" w:sz="4" w:space="0"/>
            </w:tcBorders>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w:t>
            </w:r>
          </w:p>
        </w:tc>
        <w:tc>
          <w:tcPr>
            <w:tcW w:w="450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党委办公厅（室）及相关机构事务</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50.35 </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50.35 </w:t>
            </w:r>
          </w:p>
        </w:tc>
        <w:tc>
          <w:tcPr>
            <w:tcW w:w="1011"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nil"/>
              <w:left w:val="nil"/>
              <w:bottom w:val="single" w:color="auto" w:sz="4" w:space="0"/>
              <w:right w:val="single" w:color="auto" w:sz="4" w:space="0"/>
            </w:tcBorders>
          </w:tcPr>
          <w:p>
            <w:pPr>
              <w:widowControl/>
              <w:ind w:firstLine="880" w:firstLineChars="4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nil"/>
              <w:left w:val="nil"/>
              <w:bottom w:val="single" w:color="auto" w:sz="4" w:space="0"/>
              <w:right w:val="single" w:color="auto" w:sz="4" w:space="0"/>
            </w:tcBorders>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2013101</w:t>
            </w:r>
          </w:p>
        </w:tc>
        <w:tc>
          <w:tcPr>
            <w:tcW w:w="450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行政运行</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21.93 </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21.93 </w:t>
            </w:r>
          </w:p>
        </w:tc>
        <w:tc>
          <w:tcPr>
            <w:tcW w:w="1011"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nil"/>
              <w:left w:val="nil"/>
              <w:bottom w:val="single" w:color="auto" w:sz="4" w:space="0"/>
              <w:right w:val="single" w:color="auto" w:sz="4" w:space="0"/>
            </w:tcBorders>
          </w:tcPr>
          <w:p>
            <w:pPr>
              <w:widowControl/>
              <w:ind w:firstLine="880" w:firstLineChars="4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nil"/>
              <w:left w:val="nil"/>
              <w:bottom w:val="single" w:color="auto" w:sz="4" w:space="0"/>
              <w:right w:val="single" w:color="auto" w:sz="4" w:space="0"/>
            </w:tcBorders>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2013199</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其他党委办公厅（室）及相关机构事务支出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28.42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28.42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20137</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网信事务</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2013750</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行政事业单位养老支出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3.93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3.93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机关事业单位职业年金缴费支出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1.04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1.04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行政事业单位医疗</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事业单位医疗</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住房改革支出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住房公积金</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注：本表反映部门本年度取得的各项收入情况。</w:t>
      </w: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方正小标宋简体" w:cs="Times New Roman"/>
          <w:kern w:val="0"/>
          <w:sz w:val="36"/>
          <w:szCs w:val="36"/>
        </w:rPr>
        <w:t>表三：支出决算表</w:t>
      </w:r>
    </w:p>
    <w:p>
      <w:pPr>
        <w:jc w:val="right"/>
        <w:rPr>
          <w:rFonts w:hint="default" w:ascii="Times New Roman" w:hAnsi="Times New Roman" w:cs="Times New Roman"/>
        </w:rPr>
      </w:pPr>
      <w:r>
        <w:rPr>
          <w:rFonts w:hint="default" w:ascii="Times New Roman" w:hAnsi="Times New Roman" w:cs="Times New Roman"/>
          <w:sz w:val="22"/>
          <w:szCs w:val="22"/>
        </w:rPr>
        <w:t>单位：万元</w:t>
      </w:r>
    </w:p>
    <w:tbl>
      <w:tblPr>
        <w:tblStyle w:val="6"/>
        <w:tblW w:w="14049" w:type="dxa"/>
        <w:jc w:val="center"/>
        <w:tblLayout w:type="fixed"/>
        <w:tblCellMar>
          <w:top w:w="0" w:type="dxa"/>
          <w:left w:w="108" w:type="dxa"/>
          <w:bottom w:w="0" w:type="dxa"/>
          <w:right w:w="108" w:type="dxa"/>
        </w:tblCellMar>
      </w:tblPr>
      <w:tblGrid>
        <w:gridCol w:w="2114"/>
        <w:gridCol w:w="4459"/>
        <w:gridCol w:w="1369"/>
        <w:gridCol w:w="1123"/>
        <w:gridCol w:w="1246"/>
        <w:gridCol w:w="1625"/>
        <w:gridCol w:w="867"/>
        <w:gridCol w:w="1246"/>
      </w:tblGrid>
      <w:tr>
        <w:tblPrEx>
          <w:tblCellMar>
            <w:top w:w="0" w:type="dxa"/>
            <w:left w:w="108" w:type="dxa"/>
            <w:bottom w:w="0" w:type="dxa"/>
            <w:right w:w="108" w:type="dxa"/>
          </w:tblCellMar>
        </w:tblPrEx>
        <w:trPr>
          <w:trHeight w:val="289" w:hRule="atLeast"/>
          <w:jc w:val="center"/>
        </w:trPr>
        <w:tc>
          <w:tcPr>
            <w:tcW w:w="657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支出功能项 目</w:t>
            </w:r>
          </w:p>
        </w:tc>
        <w:tc>
          <w:tcPr>
            <w:tcW w:w="13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本年支出合计</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基本支出</w:t>
            </w:r>
          </w:p>
        </w:tc>
        <w:tc>
          <w:tcPr>
            <w:tcW w:w="12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项目支出</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上缴上级支出</w:t>
            </w:r>
          </w:p>
        </w:tc>
        <w:tc>
          <w:tcPr>
            <w:tcW w:w="8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经营支出</w:t>
            </w:r>
          </w:p>
        </w:tc>
        <w:tc>
          <w:tcPr>
            <w:tcW w:w="12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对附属单位补助支出</w:t>
            </w:r>
          </w:p>
        </w:tc>
      </w:tr>
      <w:tr>
        <w:tblPrEx>
          <w:tblCellMar>
            <w:top w:w="0" w:type="dxa"/>
            <w:left w:w="108" w:type="dxa"/>
            <w:bottom w:w="0" w:type="dxa"/>
            <w:right w:w="108" w:type="dxa"/>
          </w:tblCellMar>
        </w:tblPrEx>
        <w:trPr>
          <w:trHeight w:val="289" w:hRule="atLeast"/>
          <w:jc w:val="center"/>
        </w:trPr>
        <w:tc>
          <w:tcPr>
            <w:tcW w:w="211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支出功能分类</w:t>
            </w:r>
            <w:r>
              <w:rPr>
                <w:rFonts w:hint="default" w:ascii="Times New Roman" w:hAnsi="Times New Roman" w:cs="Times New Roman"/>
                <w:kern w:val="0"/>
                <w:sz w:val="22"/>
                <w:szCs w:val="22"/>
                <w:lang w:val="en-US" w:eastAsia="zh-CN"/>
              </w:rPr>
              <w:t xml:space="preserve">        </w:t>
            </w:r>
            <w:r>
              <w:rPr>
                <w:rFonts w:hint="default" w:ascii="Times New Roman" w:hAnsi="Times New Roman" w:cs="Times New Roman"/>
                <w:kern w:val="0"/>
                <w:sz w:val="22"/>
                <w:szCs w:val="22"/>
              </w:rPr>
              <w:t>科目编码</w:t>
            </w:r>
          </w:p>
        </w:tc>
        <w:tc>
          <w:tcPr>
            <w:tcW w:w="4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科目名称</w:t>
            </w:r>
          </w:p>
        </w:tc>
        <w:tc>
          <w:tcPr>
            <w:tcW w:w="13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289" w:hRule="atLeast"/>
          <w:jc w:val="center"/>
        </w:trPr>
        <w:tc>
          <w:tcPr>
            <w:tcW w:w="657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栏次</w:t>
            </w:r>
          </w:p>
        </w:tc>
        <w:tc>
          <w:tcPr>
            <w:tcW w:w="1369"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1</w:t>
            </w:r>
          </w:p>
        </w:tc>
        <w:tc>
          <w:tcPr>
            <w:tcW w:w="1123" w:type="dxa"/>
            <w:tcBorders>
              <w:top w:val="nil"/>
              <w:left w:val="nil"/>
              <w:bottom w:val="single" w:color="auto" w:sz="4" w:space="0"/>
              <w:right w:val="single" w:color="auto" w:sz="4" w:space="0"/>
            </w:tcBorders>
          </w:tcPr>
          <w:p>
            <w:pPr>
              <w:widowControl/>
              <w:ind w:firstLine="840" w:firstLineChars="400"/>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2</w:t>
            </w:r>
          </w:p>
        </w:tc>
        <w:tc>
          <w:tcPr>
            <w:tcW w:w="1246" w:type="dxa"/>
            <w:tcBorders>
              <w:top w:val="nil"/>
              <w:left w:val="nil"/>
              <w:bottom w:val="single" w:color="auto" w:sz="4" w:space="0"/>
              <w:right w:val="single" w:color="auto" w:sz="4" w:space="0"/>
            </w:tcBorders>
          </w:tcPr>
          <w:p>
            <w:pPr>
              <w:widowControl/>
              <w:ind w:firstLine="840" w:firstLineChars="400"/>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3</w:t>
            </w:r>
          </w:p>
        </w:tc>
        <w:tc>
          <w:tcPr>
            <w:tcW w:w="1625"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4</w:t>
            </w:r>
          </w:p>
        </w:tc>
        <w:tc>
          <w:tcPr>
            <w:tcW w:w="867" w:type="dxa"/>
            <w:tcBorders>
              <w:top w:val="nil"/>
              <w:left w:val="nil"/>
              <w:bottom w:val="single" w:color="auto" w:sz="4" w:space="0"/>
              <w:right w:val="single" w:color="auto" w:sz="4" w:space="0"/>
            </w:tcBorders>
          </w:tcPr>
          <w:p>
            <w:pPr>
              <w:widowControl/>
              <w:tabs>
                <w:tab w:val="right" w:pos="-229"/>
              </w:tabs>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5</w:t>
            </w:r>
          </w:p>
        </w:tc>
        <w:tc>
          <w:tcPr>
            <w:tcW w:w="1246" w:type="dxa"/>
            <w:tcBorders>
              <w:top w:val="nil"/>
              <w:left w:val="nil"/>
              <w:bottom w:val="single" w:color="auto" w:sz="4" w:space="0"/>
              <w:right w:val="single" w:color="auto" w:sz="4" w:space="0"/>
            </w:tcBorders>
          </w:tcPr>
          <w:p>
            <w:pPr>
              <w:widowControl/>
              <w:ind w:firstLine="840" w:firstLineChars="400"/>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6</w:t>
            </w:r>
          </w:p>
        </w:tc>
      </w:tr>
      <w:tr>
        <w:tblPrEx>
          <w:tblCellMar>
            <w:top w:w="0" w:type="dxa"/>
            <w:left w:w="108" w:type="dxa"/>
            <w:bottom w:w="0" w:type="dxa"/>
            <w:right w:w="108" w:type="dxa"/>
          </w:tblCellMar>
        </w:tblPrEx>
        <w:trPr>
          <w:trHeight w:val="289" w:hRule="atLeast"/>
          <w:jc w:val="center"/>
        </w:trPr>
        <w:tc>
          <w:tcPr>
            <w:tcW w:w="657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369"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58.54</w:t>
            </w:r>
          </w:p>
        </w:tc>
        <w:tc>
          <w:tcPr>
            <w:tcW w:w="1123"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30.17</w:t>
            </w:r>
          </w:p>
        </w:tc>
        <w:tc>
          <w:tcPr>
            <w:tcW w:w="1246"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625" w:type="dxa"/>
            <w:tcBorders>
              <w:top w:val="nil"/>
              <w:left w:val="nil"/>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nil"/>
              <w:left w:val="nil"/>
              <w:bottom w:val="single" w:color="auto" w:sz="4" w:space="0"/>
              <w:right w:val="single" w:color="auto" w:sz="4" w:space="0"/>
            </w:tcBorders>
          </w:tcPr>
          <w:p>
            <w:pPr>
              <w:widowControl/>
              <w:ind w:firstLine="840" w:firstLineChars="400"/>
              <w:jc w:val="center"/>
              <w:rPr>
                <w:rFonts w:hint="default" w:ascii="Times New Roman" w:hAnsi="Times New Roman" w:cs="Times New Roman"/>
                <w:color w:val="000000"/>
                <w:kern w:val="0"/>
                <w:sz w:val="21"/>
                <w:szCs w:val="21"/>
              </w:rPr>
            </w:pPr>
          </w:p>
        </w:tc>
        <w:tc>
          <w:tcPr>
            <w:tcW w:w="1246"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一般公共服务支出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49.55</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21.17</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党委办公厅（室）及相关机构事务</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48.46</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2013101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行政运行</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2013199</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其他党委办公厅（室）及相关机构事务支出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20137</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网信事务</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2013750</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社会保障和就业支出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行政事业单位养老支出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3.75</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3.75</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机关事业单位职业年金缴费支出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卫生健康支出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行政事业单位医疗</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事业单位医疗</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住房保障支出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住房改革支出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住房公积金</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bl>
    <w:p>
      <w:pPr>
        <w:rPr>
          <w:rFonts w:hint="default" w:ascii="Times New Roman" w:hAnsi="Times New Roman" w:cs="Times New Roman"/>
        </w:rPr>
      </w:pPr>
    </w:p>
    <w:p>
      <w:pPr>
        <w:rPr>
          <w:rFonts w:hint="default" w:ascii="Times New Roman" w:hAnsi="Times New Roman" w:eastAsia="方正小标宋简体" w:cs="Times New Roman"/>
          <w:kern w:val="0"/>
          <w:sz w:val="21"/>
          <w:szCs w:val="21"/>
        </w:rPr>
      </w:pPr>
      <w:r>
        <w:rPr>
          <w:rFonts w:hint="default" w:ascii="Times New Roman" w:hAnsi="Times New Roman" w:cs="Times New Roman"/>
        </w:rPr>
        <w:t>注：本表反映部门本年度各项支出情况。</w:t>
      </w: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表四：财政拨款收入支出决算总表</w:t>
      </w:r>
    </w:p>
    <w:p>
      <w:pPr>
        <w:jc w:val="right"/>
        <w:rPr>
          <w:rFonts w:hint="default" w:ascii="Times New Roman" w:hAnsi="Times New Roman" w:cs="Times New Roman"/>
        </w:rPr>
      </w:pPr>
      <w:r>
        <w:rPr>
          <w:rFonts w:hint="default" w:ascii="Times New Roman" w:hAnsi="Times New Roman" w:cs="Times New Roman"/>
          <w:sz w:val="22"/>
          <w:szCs w:val="22"/>
        </w:rPr>
        <w:t>单位：万元</w:t>
      </w:r>
    </w:p>
    <w:tbl>
      <w:tblPr>
        <w:tblStyle w:val="6"/>
        <w:tblW w:w="13765" w:type="dxa"/>
        <w:jc w:val="center"/>
        <w:tblLayout w:type="fixed"/>
        <w:tblCellMar>
          <w:top w:w="0" w:type="dxa"/>
          <w:left w:w="108" w:type="dxa"/>
          <w:bottom w:w="0" w:type="dxa"/>
          <w:right w:w="108" w:type="dxa"/>
        </w:tblCellMar>
      </w:tblPr>
      <w:tblGrid>
        <w:gridCol w:w="3500"/>
        <w:gridCol w:w="453"/>
        <w:gridCol w:w="1214"/>
        <w:gridCol w:w="3520"/>
        <w:gridCol w:w="706"/>
        <w:gridCol w:w="1294"/>
        <w:gridCol w:w="1466"/>
        <w:gridCol w:w="1612"/>
      </w:tblGrid>
      <w:tr>
        <w:tblPrEx>
          <w:tblCellMar>
            <w:top w:w="0" w:type="dxa"/>
            <w:left w:w="108" w:type="dxa"/>
            <w:bottom w:w="0" w:type="dxa"/>
            <w:right w:w="108" w:type="dxa"/>
          </w:tblCellMar>
        </w:tblPrEx>
        <w:trPr>
          <w:trHeight w:val="300" w:hRule="atLeast"/>
          <w:jc w:val="center"/>
        </w:trPr>
        <w:tc>
          <w:tcPr>
            <w:tcW w:w="5167"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收 入</w:t>
            </w:r>
          </w:p>
        </w:tc>
        <w:tc>
          <w:tcPr>
            <w:tcW w:w="8598" w:type="dxa"/>
            <w:gridSpan w:val="5"/>
            <w:tcBorders>
              <w:top w:val="single" w:color="auto" w:sz="4" w:space="0"/>
              <w:left w:val="nil"/>
              <w:bottom w:val="single" w:color="auto" w:sz="4" w:space="0"/>
              <w:right w:val="single" w:color="000000" w:sz="4" w:space="0"/>
            </w:tcBorders>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支 出</w:t>
            </w:r>
          </w:p>
        </w:tc>
      </w:tr>
      <w:tr>
        <w:tblPrEx>
          <w:tblCellMar>
            <w:top w:w="0" w:type="dxa"/>
            <w:left w:w="108" w:type="dxa"/>
            <w:bottom w:w="0" w:type="dxa"/>
            <w:right w:w="108" w:type="dxa"/>
          </w:tblCellMar>
        </w:tblPrEx>
        <w:trPr>
          <w:trHeight w:val="732"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项 目</w:t>
            </w:r>
          </w:p>
        </w:tc>
        <w:tc>
          <w:tcPr>
            <w:tcW w:w="45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行次</w:t>
            </w:r>
          </w:p>
        </w:tc>
        <w:tc>
          <w:tcPr>
            <w:tcW w:w="121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金额</w:t>
            </w:r>
          </w:p>
        </w:tc>
        <w:tc>
          <w:tcPr>
            <w:tcW w:w="35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项 目</w:t>
            </w:r>
          </w:p>
        </w:tc>
        <w:tc>
          <w:tcPr>
            <w:tcW w:w="70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行次</w:t>
            </w:r>
          </w:p>
        </w:tc>
        <w:tc>
          <w:tcPr>
            <w:tcW w:w="129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46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一般公共预算财政拨款</w:t>
            </w:r>
          </w:p>
        </w:tc>
        <w:tc>
          <w:tcPr>
            <w:tcW w:w="161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栏 次</w:t>
            </w:r>
          </w:p>
        </w:tc>
        <w:tc>
          <w:tcPr>
            <w:tcW w:w="453" w:type="dxa"/>
            <w:tcBorders>
              <w:top w:val="nil"/>
              <w:left w:val="nil"/>
              <w:bottom w:val="single" w:color="auto" w:sz="4" w:space="0"/>
              <w:right w:val="single" w:color="auto" w:sz="4" w:space="0"/>
            </w:tcBorders>
            <w:vAlign w:val="top"/>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4"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3520" w:type="dxa"/>
            <w:tcBorders>
              <w:top w:val="nil"/>
              <w:left w:val="nil"/>
              <w:bottom w:val="single" w:color="auto" w:sz="4" w:space="0"/>
              <w:right w:val="single" w:color="auto" w:sz="4" w:space="0"/>
            </w:tcBorders>
            <w:vAlign w:val="top"/>
          </w:tcPr>
          <w:p>
            <w:pPr>
              <w:widowControl/>
              <w:ind w:firstLine="880" w:firstLineChars="400"/>
              <w:jc w:val="left"/>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栏 次</w:t>
            </w:r>
          </w:p>
        </w:tc>
        <w:tc>
          <w:tcPr>
            <w:tcW w:w="706" w:type="dxa"/>
            <w:tcBorders>
              <w:top w:val="nil"/>
              <w:left w:val="nil"/>
              <w:bottom w:val="single" w:color="auto" w:sz="4" w:space="0"/>
              <w:right w:val="single" w:color="auto" w:sz="4" w:space="0"/>
            </w:tcBorders>
            <w:vAlign w:val="top"/>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94"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1466"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1612"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kern w:val="0"/>
                <w:sz w:val="20"/>
                <w:szCs w:val="20"/>
              </w:rPr>
              <w:t>一、一般公共预算财政拨款</w:t>
            </w:r>
            <w:r>
              <w:rPr>
                <w:rFonts w:hint="default" w:ascii="Times New Roman" w:hAnsi="Times New Roman" w:cs="Times New Roman"/>
                <w:kern w:val="0"/>
                <w:sz w:val="20"/>
                <w:szCs w:val="20"/>
                <w:lang w:eastAsia="zh-CN"/>
              </w:rPr>
              <w:t>收入</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59.85</w:t>
            </w: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一、一般公共服务支出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32</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49.55</w:t>
            </w: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49.55</w:t>
            </w: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kern w:val="0"/>
                <w:sz w:val="20"/>
                <w:szCs w:val="20"/>
              </w:rPr>
              <w:t>二、政府性基金预算财政拨款</w:t>
            </w:r>
            <w:r>
              <w:rPr>
                <w:rFonts w:hint="default" w:ascii="Times New Roman" w:hAnsi="Times New Roman" w:cs="Times New Roman"/>
                <w:kern w:val="0"/>
                <w:sz w:val="20"/>
                <w:szCs w:val="20"/>
                <w:lang w:eastAsia="zh-CN"/>
              </w:rPr>
              <w:t>收入</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2</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二、外交支出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33</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3</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三、国防支出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34</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4</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四、公共安全支出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35</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五、教育支出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36</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六、科学技术支出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37</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7</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七、文化旅游体育与传媒支出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38</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8</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八、社会保障和就业支出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39</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4.77</w:t>
            </w: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4.77</w:t>
            </w: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9</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九、卫生健康支出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40</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1.23</w:t>
            </w: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1.23</w:t>
            </w: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十、节能环保支出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41</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11</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十一、城乡社区支出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42</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12</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十二、农林水支出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43</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13</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十三、交通运输支出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44</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cs="Times New Roman"/>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14</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十四、资源勘探信息等支出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45</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15</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十五、商业服务业等支出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46</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16</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十六、金融支出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47</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5"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17</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十七、援助其他地区支出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48</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18</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十八、自然资源海洋气象等支出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49</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19</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十九、住房保障支出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50</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3.00</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3.00</w:t>
            </w:r>
          </w:p>
        </w:tc>
        <w:tc>
          <w:tcPr>
            <w:tcW w:w="16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二十、粮油物资储备支出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51</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二十一、灾害防治及应急管理支出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52</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22</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二十二、其他支出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53</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二十三、债务还本支出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54</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24</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二十四、债务付息支出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55</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25</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val="en-US" w:eastAsia="zh-CN" w:bidi="ar-SA"/>
              </w:rPr>
            </w:pP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56</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本年收入合计</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26</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59.85</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本年支出合计</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57</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58.54</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58.54</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年初财政拨款结转和结余</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27</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1.06</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年末</w:t>
            </w:r>
            <w:r>
              <w:rPr>
                <w:rFonts w:hint="default" w:ascii="Times New Roman" w:hAnsi="Times New Roman" w:cs="Times New Roman"/>
                <w:kern w:val="0"/>
                <w:sz w:val="20"/>
                <w:szCs w:val="20"/>
                <w:lang w:eastAsia="zh-CN"/>
              </w:rPr>
              <w:t>财政拨款</w:t>
            </w:r>
            <w:r>
              <w:rPr>
                <w:rFonts w:hint="default" w:ascii="Times New Roman" w:hAnsi="Times New Roman" w:cs="Times New Roman"/>
                <w:kern w:val="0"/>
                <w:sz w:val="20"/>
                <w:szCs w:val="20"/>
              </w:rPr>
              <w:t>结转和结余</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58</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2.38</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2.38</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一般公共预算财政拨款</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28</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1.06</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rPr>
              <w:t>　</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政府性基金预算财政拨款</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29</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rPr>
              <w:t>　</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30</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61</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合计</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31</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60.92</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合计</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62</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60.92</w:t>
            </w: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60.92</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bl>
    <w:p>
      <w:pPr>
        <w:rPr>
          <w:rFonts w:hint="default" w:ascii="Times New Roman" w:hAnsi="Times New Roman" w:cs="Times New Roman"/>
        </w:rPr>
      </w:pPr>
      <w:r>
        <w:rPr>
          <w:rFonts w:hint="default" w:ascii="Times New Roman" w:hAnsi="Times New Roman" w:cs="Times New Roman"/>
        </w:rPr>
        <w:t>注：本表反映部门本年度一般公共预算财政拨款和政府性基金预算财政拨款的总收支和年末结转结余情况。</w:t>
      </w:r>
    </w:p>
    <w:p>
      <w:pPr>
        <w:rPr>
          <w:rFonts w:hint="default" w:ascii="Times New Roman" w:hAnsi="Times New Roman" w:cs="Times New Roman"/>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表五：</w:t>
      </w:r>
      <w:r>
        <w:rPr>
          <w:rFonts w:hint="default" w:ascii="Times New Roman" w:hAnsi="Times New Roman" w:eastAsia="方正小标宋简体" w:cs="Times New Roman"/>
          <w:sz w:val="36"/>
          <w:szCs w:val="36"/>
        </w:rPr>
        <w:t>一般</w:t>
      </w:r>
      <w:r>
        <w:rPr>
          <w:rFonts w:hint="default" w:ascii="Times New Roman" w:hAnsi="Times New Roman" w:eastAsia="方正小标宋简体" w:cs="Times New Roman"/>
          <w:kern w:val="0"/>
          <w:sz w:val="36"/>
          <w:szCs w:val="36"/>
        </w:rPr>
        <w:t>公共预算财政拨款支出决算表</w:t>
      </w:r>
    </w:p>
    <w:p>
      <w:pPr>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单位：</w:t>
      </w:r>
      <w:r>
        <w:rPr>
          <w:rFonts w:hint="default" w:ascii="Times New Roman" w:hAnsi="Times New Roman" w:cs="Times New Roman"/>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914"/>
        <w:gridCol w:w="4697"/>
        <w:gridCol w:w="2075"/>
        <w:gridCol w:w="2400"/>
        <w:gridCol w:w="2393"/>
      </w:tblGrid>
      <w:tr>
        <w:tblPrEx>
          <w:tblCellMar>
            <w:top w:w="0" w:type="dxa"/>
            <w:left w:w="108" w:type="dxa"/>
            <w:bottom w:w="0" w:type="dxa"/>
            <w:right w:w="108" w:type="dxa"/>
          </w:tblCellMar>
        </w:tblPrEx>
        <w:trPr>
          <w:trHeight w:val="300" w:hRule="atLeast"/>
          <w:jc w:val="center"/>
        </w:trPr>
        <w:tc>
          <w:tcPr>
            <w:tcW w:w="66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kern w:val="0"/>
                <w:sz w:val="22"/>
                <w:szCs w:val="22"/>
              </w:rPr>
              <w:t>支出功能</w:t>
            </w:r>
            <w:r>
              <w:rPr>
                <w:rFonts w:hint="default" w:ascii="Times New Roman" w:hAnsi="Times New Roman" w:eastAsia="MingLiU" w:cs="Times New Roman"/>
                <w:kern w:val="0"/>
                <w:sz w:val="22"/>
                <w:szCs w:val="22"/>
              </w:rPr>
              <w:t>项目</w:t>
            </w:r>
          </w:p>
        </w:tc>
        <w:tc>
          <w:tcPr>
            <w:tcW w:w="20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合计</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基本支出</w:t>
            </w:r>
          </w:p>
        </w:tc>
        <w:tc>
          <w:tcPr>
            <w:tcW w:w="23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项目支出</w:t>
            </w:r>
          </w:p>
        </w:tc>
      </w:tr>
      <w:tr>
        <w:tblPrEx>
          <w:tblCellMar>
            <w:top w:w="0" w:type="dxa"/>
            <w:left w:w="108" w:type="dxa"/>
            <w:bottom w:w="0" w:type="dxa"/>
            <w:right w:w="108" w:type="dxa"/>
          </w:tblCellMar>
        </w:tblPrEx>
        <w:trPr>
          <w:trHeight w:val="300" w:hRule="atLeast"/>
          <w:jc w:val="center"/>
        </w:trPr>
        <w:tc>
          <w:tcPr>
            <w:tcW w:w="191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MingLiU" w:cs="Times New Roman"/>
                <w:kern w:val="0"/>
                <w:sz w:val="22"/>
                <w:szCs w:val="22"/>
              </w:rPr>
            </w:pPr>
            <w:r>
              <w:rPr>
                <w:rFonts w:hint="default" w:ascii="Times New Roman" w:hAnsi="Times New Roman" w:cs="Times New Roman"/>
                <w:kern w:val="0"/>
                <w:sz w:val="22"/>
                <w:szCs w:val="22"/>
              </w:rPr>
              <w:t>支出功能分类</w:t>
            </w:r>
            <w:r>
              <w:rPr>
                <w:rFonts w:hint="default" w:ascii="Times New Roman" w:hAnsi="Times New Roman" w:cs="Times New Roman"/>
                <w:kern w:val="0"/>
                <w:sz w:val="22"/>
                <w:szCs w:val="22"/>
                <w:lang w:val="en-US" w:eastAsia="zh-CN"/>
              </w:rPr>
              <w:t xml:space="preserve">     </w:t>
            </w:r>
            <w:r>
              <w:rPr>
                <w:rFonts w:hint="default" w:ascii="Times New Roman" w:hAnsi="Times New Roman" w:eastAsia="MingLiU" w:cs="Times New Roman"/>
                <w:kern w:val="0"/>
                <w:sz w:val="22"/>
                <w:szCs w:val="22"/>
              </w:rPr>
              <w:t>科目编码</w:t>
            </w:r>
          </w:p>
        </w:tc>
        <w:tc>
          <w:tcPr>
            <w:tcW w:w="469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科目名称</w:t>
            </w: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23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661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b/>
                <w:bCs/>
                <w:kern w:val="0"/>
                <w:sz w:val="18"/>
                <w:szCs w:val="18"/>
              </w:rPr>
              <w:t>栏次</w:t>
            </w:r>
          </w:p>
        </w:tc>
        <w:tc>
          <w:tcPr>
            <w:tcW w:w="2075"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240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239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r>
      <w:tr>
        <w:tblPrEx>
          <w:tblCellMar>
            <w:top w:w="0" w:type="dxa"/>
            <w:left w:w="108" w:type="dxa"/>
            <w:bottom w:w="0" w:type="dxa"/>
            <w:right w:w="108" w:type="dxa"/>
          </w:tblCellMar>
        </w:tblPrEx>
        <w:trPr>
          <w:trHeight w:val="300" w:hRule="atLeast"/>
          <w:jc w:val="center"/>
        </w:trPr>
        <w:tc>
          <w:tcPr>
            <w:tcW w:w="661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合计</w:t>
            </w:r>
          </w:p>
        </w:tc>
        <w:tc>
          <w:tcPr>
            <w:tcW w:w="207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58.54 </w:t>
            </w:r>
          </w:p>
        </w:tc>
        <w:tc>
          <w:tcPr>
            <w:tcW w:w="240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30.17</w:t>
            </w:r>
          </w:p>
        </w:tc>
        <w:tc>
          <w:tcPr>
            <w:tcW w:w="2393" w:type="dxa"/>
            <w:tcBorders>
              <w:top w:val="nil"/>
              <w:left w:val="nil"/>
              <w:bottom w:val="single" w:color="auto" w:sz="4" w:space="0"/>
              <w:right w:val="single" w:color="auto" w:sz="4" w:space="0"/>
            </w:tcBorders>
          </w:tcPr>
          <w:p>
            <w:pPr>
              <w:widowControl/>
              <w:ind w:firstLine="2520" w:firstLineChars="120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288"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一般公共服务支出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49.55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21.17</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288"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党委办公厅（室）及相关机构事务</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48.46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288"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2013101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行政运行</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20.09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2013199</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其他党委办公厅（室）及相关机构事务支出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28.37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lang w:val="en-US"/>
              </w:rPr>
            </w:pPr>
            <w:r>
              <w:rPr>
                <w:rFonts w:hint="eastAsia" w:cs="Times New Roman"/>
                <w:color w:val="000000"/>
                <w:kern w:val="0"/>
                <w:sz w:val="21"/>
                <w:szCs w:val="21"/>
                <w:lang w:val="en-US" w:eastAsia="zh-CN"/>
              </w:rPr>
              <w:t>28.37</w:t>
            </w: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20137</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网信事务</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1.08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2013750</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1.08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社会保障和就业支出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4.77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行政事业单位养老支出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4.77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3.75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3.75</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机关事业单位职业年金缴费支出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1.02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卫生健康支出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1.23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行政事业单位医疗</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1.23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事业单位医疗</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1.23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住房保障支出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住房改革支出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注：本表反映部门本年度一般公共预算财政拨款实际支出情况。</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表六</w:t>
      </w:r>
      <w:r>
        <w:rPr>
          <w:rFonts w:hint="default" w:ascii="Times New Roman" w:hAnsi="Times New Roman" w:eastAsia="方正小标宋简体" w:cs="Times New Roman"/>
          <w:color w:val="000000"/>
          <w:kern w:val="0"/>
          <w:sz w:val="36"/>
          <w:szCs w:val="36"/>
        </w:rPr>
        <w:t>：</w:t>
      </w:r>
      <w:r>
        <w:rPr>
          <w:rFonts w:hint="default" w:ascii="Times New Roman" w:hAnsi="Times New Roman" w:eastAsia="方正小标宋简体" w:cs="Times New Roman"/>
          <w:color w:val="000000"/>
          <w:sz w:val="36"/>
          <w:szCs w:val="36"/>
        </w:rPr>
        <w:t>一般</w:t>
      </w:r>
      <w:r>
        <w:rPr>
          <w:rFonts w:hint="default" w:ascii="Times New Roman" w:hAnsi="Times New Roman" w:eastAsia="方正小标宋简体" w:cs="Times New Roman"/>
          <w:color w:val="000000"/>
          <w:kern w:val="0"/>
          <w:sz w:val="36"/>
          <w:szCs w:val="36"/>
        </w:rPr>
        <w:t>公共预算财政拨</w:t>
      </w:r>
      <w:r>
        <w:rPr>
          <w:rFonts w:hint="default" w:ascii="Times New Roman" w:hAnsi="Times New Roman" w:eastAsia="方正小标宋简体" w:cs="Times New Roman"/>
          <w:kern w:val="0"/>
          <w:sz w:val="36"/>
          <w:szCs w:val="36"/>
        </w:rPr>
        <w:t>款基本支出决算表</w:t>
      </w:r>
    </w:p>
    <w:p>
      <w:pPr>
        <w:jc w:val="center"/>
        <w:rPr>
          <w:rFonts w:hint="default" w:ascii="Times New Roman" w:hAnsi="Times New Roman" w:eastAsia="方正小标宋简体" w:cs="Times New Roman"/>
          <w:kern w:val="0"/>
          <w:sz w:val="36"/>
          <w:szCs w:val="36"/>
        </w:rPr>
      </w:pPr>
    </w:p>
    <w:p>
      <w:pPr>
        <w:ind w:right="330"/>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单位：万元</w:t>
      </w:r>
    </w:p>
    <w:tbl>
      <w:tblPr>
        <w:tblStyle w:val="6"/>
        <w:tblW w:w="9151" w:type="dxa"/>
        <w:jc w:val="center"/>
        <w:tblLayout w:type="fixed"/>
        <w:tblCellMar>
          <w:top w:w="0" w:type="dxa"/>
          <w:left w:w="108" w:type="dxa"/>
          <w:bottom w:w="0" w:type="dxa"/>
          <w:right w:w="108" w:type="dxa"/>
        </w:tblCellMar>
      </w:tblPr>
      <w:tblGrid>
        <w:gridCol w:w="916"/>
        <w:gridCol w:w="3130"/>
        <w:gridCol w:w="941"/>
        <w:gridCol w:w="849"/>
        <w:gridCol w:w="2224"/>
        <w:gridCol w:w="1091"/>
      </w:tblGrid>
      <w:tr>
        <w:tblPrEx>
          <w:tblCellMar>
            <w:top w:w="0" w:type="dxa"/>
            <w:left w:w="108" w:type="dxa"/>
            <w:bottom w:w="0" w:type="dxa"/>
            <w:right w:w="108" w:type="dxa"/>
          </w:tblCellMar>
        </w:tblPrEx>
        <w:trPr>
          <w:trHeight w:val="564" w:hRule="atLeast"/>
          <w:jc w:val="center"/>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公用经费</w:t>
            </w:r>
          </w:p>
        </w:tc>
      </w:tr>
      <w:tr>
        <w:tblPrEx>
          <w:tblCellMar>
            <w:top w:w="0" w:type="dxa"/>
            <w:left w:w="108" w:type="dxa"/>
            <w:bottom w:w="0" w:type="dxa"/>
            <w:right w:w="108" w:type="dxa"/>
          </w:tblCellMar>
        </w:tblPrEx>
        <w:trPr>
          <w:trHeight w:val="312" w:hRule="atLeast"/>
          <w:jc w:val="center"/>
        </w:trPr>
        <w:tc>
          <w:tcPr>
            <w:tcW w:w="91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支出经济分类科目编码</w:t>
            </w:r>
          </w:p>
        </w:tc>
        <w:tc>
          <w:tcPr>
            <w:tcW w:w="3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科目名称</w:t>
            </w:r>
          </w:p>
        </w:tc>
        <w:tc>
          <w:tcPr>
            <w:tcW w:w="9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lang w:eastAsia="zh-CN"/>
              </w:rPr>
              <w:t>金额</w:t>
            </w:r>
          </w:p>
        </w:tc>
        <w:tc>
          <w:tcPr>
            <w:tcW w:w="8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经济分类科目编码</w:t>
            </w:r>
          </w:p>
        </w:tc>
        <w:tc>
          <w:tcPr>
            <w:tcW w:w="22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科目名称</w:t>
            </w:r>
          </w:p>
        </w:tc>
        <w:tc>
          <w:tcPr>
            <w:tcW w:w="10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金额</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工资福利支出</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27.27</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商品和服务支出</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2.9</w:t>
            </w:r>
          </w:p>
        </w:tc>
      </w:tr>
      <w:tr>
        <w:tblPrEx>
          <w:tblCellMar>
            <w:top w:w="0" w:type="dxa"/>
            <w:left w:w="108" w:type="dxa"/>
            <w:bottom w:w="0" w:type="dxa"/>
            <w:right w:w="108" w:type="dxa"/>
          </w:tblCellMar>
        </w:tblPrEx>
        <w:trPr>
          <w:trHeight w:val="339"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基本工资</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8.09</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30201</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办公费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0.45</w:t>
            </w:r>
          </w:p>
        </w:tc>
      </w:tr>
      <w:tr>
        <w:tblPrEx>
          <w:tblCellMar>
            <w:top w:w="0" w:type="dxa"/>
            <w:left w:w="108" w:type="dxa"/>
            <w:bottom w:w="0" w:type="dxa"/>
            <w:right w:w="108" w:type="dxa"/>
          </w:tblCellMar>
        </w:tblPrEx>
        <w:trPr>
          <w:trHeight w:val="35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30102</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津贴补贴</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0.58</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30202</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印刷费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奖金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0.15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30203</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咨询费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30106</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伙食补助费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30204</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手续费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30107</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绩效工资</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9.35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30205</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水费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30108</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0"/>
                <w:szCs w:val="20"/>
                <w:lang w:val="en-US" w:eastAsia="zh-CN"/>
              </w:rPr>
              <w:t>机关事业单位基本养老保险缴费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3.75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30206</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电费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职业年金缴费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1.02</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30207</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邮电费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0.29</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30110</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职工基本医疗保险缴费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1.23</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30208</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取暖费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公务员医疗补助缴费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物业管理费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90"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30112</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其他社会保障缴费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0.11</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30211</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差旅费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0.51</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住房公积金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30212</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因公出国（境）费用</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357"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30114</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医疗费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30213</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维修（护）费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0.02</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30199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其他工资福利支出</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30214</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租赁费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对个人和家庭的补助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30215</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会议费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离休费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30216</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培训费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30302</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退休费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30217</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公务接待费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退职（役）费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30218</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专用材料费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30304</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抚恤金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30224</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被装购置费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30305</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生活补助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30225</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专用燃料费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30306</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救济费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30226</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劳务费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30307</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医疗费补助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30227</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委托业务费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30308</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助学金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30228</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工会经费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0.43</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奖励金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福利费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30310</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个人农业生产补贴</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30231</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公务用车运行维护费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30311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代缴社会保险费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30239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其他交通费用</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30399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其他对个人和家庭的补助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30240</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税金及附加费用</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379"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30299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其他商品和服务支出</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1.2</w:t>
            </w:r>
          </w:p>
        </w:tc>
      </w:tr>
      <w:tr>
        <w:tblPrEx>
          <w:tblCellMar>
            <w:top w:w="0" w:type="dxa"/>
            <w:left w:w="108" w:type="dxa"/>
            <w:bottom w:w="0" w:type="dxa"/>
            <w:right w:w="108" w:type="dxa"/>
          </w:tblCellMar>
        </w:tblPrEx>
        <w:trPr>
          <w:trHeight w:val="266" w:hRule="atLeast"/>
          <w:jc w:val="center"/>
        </w:trPr>
        <w:tc>
          <w:tcPr>
            <w:tcW w:w="4046"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eastAsia="zh-CN"/>
              </w:rPr>
              <w:t>人员经费合计</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bidi="ar-SA"/>
              </w:rPr>
              <w:t>27.27</w:t>
            </w:r>
          </w:p>
        </w:tc>
        <w:tc>
          <w:tcPr>
            <w:tcW w:w="3073"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eastAsia="zh-CN"/>
              </w:rPr>
              <w:t>公用经费合计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2.9</w:t>
            </w:r>
          </w:p>
        </w:tc>
      </w:tr>
    </w:tbl>
    <w:p>
      <w:pPr>
        <w:rPr>
          <w:rFonts w:hint="default" w:ascii="Times New Roman" w:hAnsi="Times New Roman" w:cs="Times New Roman"/>
        </w:rPr>
        <w:sectPr>
          <w:pgSz w:w="11906" w:h="16838"/>
          <w:pgMar w:top="1440" w:right="1797" w:bottom="1440" w:left="1797" w:header="851" w:footer="992" w:gutter="0"/>
          <w:pgNumType w:fmt="numberInDash"/>
          <w:cols w:space="720" w:num="1"/>
          <w:docGrid w:type="lines" w:linePitch="312" w:charSpace="0"/>
        </w:sectPr>
      </w:pPr>
      <w:r>
        <w:rPr>
          <w:rFonts w:hint="default" w:ascii="Times New Roman" w:hAnsi="Times New Roman" w:cs="Times New Roman"/>
        </w:rPr>
        <w:t>注：本表反映部门本年度一般公共预算财政拨款基本支出明细情况。</w:t>
      </w: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表七：</w:t>
      </w:r>
      <w:r>
        <w:rPr>
          <w:rFonts w:hint="default" w:ascii="Times New Roman" w:hAnsi="Times New Roman" w:eastAsia="方正小标宋简体" w:cs="Times New Roman"/>
          <w:sz w:val="36"/>
          <w:szCs w:val="36"/>
        </w:rPr>
        <w:t>一般</w:t>
      </w:r>
      <w:r>
        <w:rPr>
          <w:rFonts w:hint="default" w:ascii="Times New Roman" w:hAnsi="Times New Roman" w:eastAsia="方正小标宋简体" w:cs="Times New Roman"/>
          <w:kern w:val="0"/>
          <w:sz w:val="36"/>
          <w:szCs w:val="36"/>
        </w:rPr>
        <w:t>公共预算财政拨款安排的“</w:t>
      </w:r>
      <w:r>
        <w:rPr>
          <w:rFonts w:hint="default" w:ascii="Times New Roman" w:hAnsi="Times New Roman" w:eastAsia="方正小标宋简体" w:cs="Times New Roman"/>
          <w:kern w:val="0"/>
          <w:sz w:val="36"/>
          <w:szCs w:val="36"/>
        </w:rPr>
        <w:t>三公</w:t>
      </w:r>
      <w:r>
        <w:rPr>
          <w:rFonts w:hint="default" w:ascii="Times New Roman" w:hAnsi="Times New Roman" w:eastAsia="方正小标宋简体" w:cs="Times New Roman"/>
          <w:kern w:val="0"/>
          <w:sz w:val="36"/>
          <w:szCs w:val="36"/>
        </w:rPr>
        <w:t>”</w:t>
      </w:r>
      <w:r>
        <w:rPr>
          <w:rFonts w:hint="default" w:ascii="Times New Roman" w:hAnsi="Times New Roman" w:eastAsia="方正小标宋简体" w:cs="Times New Roman"/>
          <w:kern w:val="0"/>
          <w:sz w:val="36"/>
          <w:szCs w:val="36"/>
        </w:rPr>
        <w:t>经费</w:t>
      </w:r>
      <w:r>
        <w:rPr>
          <w:rFonts w:hint="default" w:ascii="Times New Roman" w:hAnsi="Times New Roman" w:eastAsia="方正小标宋简体" w:cs="Times New Roman"/>
          <w:kern w:val="0"/>
          <w:sz w:val="36"/>
          <w:szCs w:val="36"/>
        </w:rPr>
        <w:t>支出决算表</w:t>
      </w: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60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82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121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80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w:t>
            </w:r>
          </w:p>
        </w:tc>
        <w:tc>
          <w:tcPr>
            <w:tcW w:w="156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w:t>
            </w:r>
          </w:p>
        </w:tc>
        <w:tc>
          <w:tcPr>
            <w:tcW w:w="80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9</w:t>
            </w:r>
          </w:p>
        </w:tc>
        <w:tc>
          <w:tcPr>
            <w:tcW w:w="139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w:t>
            </w:r>
          </w:p>
        </w:tc>
        <w:tc>
          <w:tcPr>
            <w:tcW w:w="120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11</w:t>
            </w:r>
          </w:p>
        </w:tc>
        <w:tc>
          <w:tcPr>
            <w:tcW w:w="118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0.11</w:t>
            </w:r>
          </w:p>
        </w:tc>
        <w:tc>
          <w:tcPr>
            <w:tcW w:w="1603"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c>
          <w:tcPr>
            <w:tcW w:w="828"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p>
        </w:tc>
        <w:tc>
          <w:tcPr>
            <w:tcW w:w="1216"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0.11</w:t>
            </w:r>
          </w:p>
        </w:tc>
        <w:tc>
          <w:tcPr>
            <w:tcW w:w="806"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0</w:t>
            </w:r>
          </w:p>
        </w:tc>
        <w:tc>
          <w:tcPr>
            <w:tcW w:w="1560"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c>
          <w:tcPr>
            <w:tcW w:w="806"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c>
          <w:tcPr>
            <w:tcW w:w="1398" w:type="dxa"/>
            <w:tcBorders>
              <w:top w:val="nil"/>
              <w:left w:val="nil"/>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0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p>
        </w:tc>
        <w:tc>
          <w:tcPr>
            <w:tcW w:w="1183"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w:t>
            </w:r>
          </w:p>
        </w:tc>
      </w:tr>
    </w:tbl>
    <w:p>
      <w:pPr>
        <w:rPr>
          <w:rFonts w:hint="default" w:ascii="Times New Roman" w:hAnsi="Times New Roman" w:cs="Times New Roman"/>
        </w:rPr>
        <w:sectPr>
          <w:pgSz w:w="16838" w:h="11906" w:orient="landscape"/>
          <w:pgMar w:top="1797" w:right="1440" w:bottom="1797" w:left="1440" w:header="851" w:footer="992" w:gutter="0"/>
          <w:pgNumType w:fmt="numberInDash"/>
          <w:cols w:space="720" w:num="1"/>
          <w:docGrid w:type="lines" w:linePitch="312" w:charSpace="0"/>
        </w:sectPr>
      </w:pPr>
      <w:r>
        <w:rPr>
          <w:rFonts w:hint="default" w:ascii="Times New Roman" w:hAnsi="Times New Roman" w:cs="Times New Roman"/>
        </w:rPr>
        <w:t>注：本表反映部门本年度“三公”经费支出预决算情况。其中，2020年度预算数为“三公”经费年初预算数，决算数是包括当年一般公共预算财政拨款和以前年度结转资金安排的实际支出。</w:t>
      </w:r>
    </w:p>
    <w:p>
      <w:pPr>
        <w:rPr>
          <w:rFonts w:hint="default" w:ascii="Times New Roman" w:hAnsi="Times New Roman" w:cs="Times New Roman"/>
        </w:rPr>
      </w:pPr>
    </w:p>
    <w:p>
      <w:pPr>
        <w:rPr>
          <w:rFonts w:hint="default" w:ascii="Times New Roman" w:hAnsi="Times New Roman" w:cs="Times New Roman"/>
        </w:rPr>
      </w:pP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385"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765"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2010" w:type="dxa"/>
            <w:gridSpan w:val="2"/>
            <w:tcBorders>
              <w:top w:val="nil"/>
              <w:left w:val="nil"/>
              <w:bottom w:val="nil"/>
              <w:right w:val="nil"/>
            </w:tcBorders>
            <w:vAlign w:val="bottom"/>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hint="default" w:ascii="Times New Roman" w:hAnsi="Times New Roman" w:cs="Times New Roman"/>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hint="default" w:ascii="Times New Roman" w:hAnsi="Times New Roman" w:cs="Times New Roman"/>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bl>
    <w:p>
      <w:pPr>
        <w:spacing w:line="560" w:lineRule="exact"/>
        <w:ind w:firstLine="420"/>
        <w:rPr>
          <w:rFonts w:hint="default" w:ascii="Times New Roman" w:hAnsi="Times New Roman" w:cs="Times New Roman"/>
        </w:rPr>
      </w:pPr>
      <w:r>
        <w:rPr>
          <w:rFonts w:hint="default" w:ascii="Times New Roman" w:hAnsi="Times New Roman" w:cs="Times New Roman"/>
        </w:rPr>
        <w:t>注：本表反映部门本年度政府性基金预算财政拨款收入支出及结转和结余情况。</w:t>
      </w:r>
    </w:p>
    <w:p>
      <w:pPr>
        <w:spacing w:line="560" w:lineRule="exact"/>
        <w:ind w:firstLine="840" w:firstLineChars="400"/>
        <w:rPr>
          <w:rFonts w:hint="default" w:ascii="Times New Roman" w:hAnsi="Times New Roman" w:eastAsia="宋体" w:cs="Times New Roman"/>
          <w:lang w:eastAsia="zh-CN"/>
        </w:rPr>
      </w:pPr>
      <w:r>
        <w:rPr>
          <w:rFonts w:hint="default" w:ascii="Times New Roman" w:hAnsi="Times New Roman" w:cs="Times New Roman"/>
          <w:lang w:eastAsia="zh-CN"/>
        </w:rPr>
        <w:t>柳州市信访</w:t>
      </w:r>
      <w:r>
        <w:rPr>
          <w:rFonts w:hint="default" w:ascii="Times New Roman" w:hAnsi="Times New Roman" w:cs="Times New Roman"/>
          <w:lang w:eastAsia="zh-CN"/>
        </w:rPr>
        <w:t>信息中心</w:t>
      </w:r>
      <w:r>
        <w:rPr>
          <w:rFonts w:hint="default" w:ascii="Times New Roman" w:hAnsi="Times New Roman" w:cs="Times New Roman"/>
        </w:rPr>
        <w:t>没有</w:t>
      </w:r>
      <w:r>
        <w:rPr>
          <w:rFonts w:hint="default" w:ascii="Times New Roman" w:hAnsi="Times New Roman" w:cs="Times New Roman"/>
          <w:lang w:eastAsia="zh-CN"/>
        </w:rPr>
        <w:t>政府性基金</w:t>
      </w:r>
      <w:r>
        <w:rPr>
          <w:rFonts w:hint="default" w:ascii="Times New Roman" w:hAnsi="Times New Roman" w:cs="Times New Roman"/>
        </w:rPr>
        <w:t>收入，也没有政府性基金预算财政拨款安排的支出，故本表无数据</w:t>
      </w:r>
      <w:r>
        <w:rPr>
          <w:rFonts w:hint="default" w:ascii="Times New Roman" w:hAnsi="Times New Roman" w:cs="Times New Roman"/>
          <w:lang w:eastAsia="zh-CN"/>
        </w:rPr>
        <w:t>。</w:t>
      </w:r>
    </w:p>
    <w:p>
      <w:pPr>
        <w:spacing w:line="560" w:lineRule="exact"/>
        <w:ind w:firstLine="420"/>
        <w:rPr>
          <w:rFonts w:hint="default" w:ascii="Times New Roman" w:hAnsi="Times New Roman" w:cs="Times New Roman"/>
        </w:rPr>
      </w:pPr>
    </w:p>
    <w:p>
      <w:pPr>
        <w:spacing w:line="560" w:lineRule="exact"/>
        <w:ind w:firstLine="420"/>
        <w:rPr>
          <w:rFonts w:hint="default" w:ascii="Times New Roman" w:hAnsi="Times New Roman" w:cs="Times New Roman"/>
        </w:rPr>
      </w:pPr>
    </w:p>
    <w:tbl>
      <w:tblPr>
        <w:tblStyle w:val="6"/>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highlight w:val="none"/>
                <w:u w:val="none"/>
              </w:rPr>
            </w:pPr>
            <w:r>
              <w:rPr>
                <w:rFonts w:hint="default" w:ascii="Times New Roman" w:hAnsi="Times New Roman" w:eastAsia="华文中宋" w:cs="Times New Roman"/>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default" w:ascii="Times New Roman" w:hAnsi="Times New Roman" w:eastAsia="宋体" w:cs="Times New Roman"/>
                <w:i w:val="0"/>
                <w:color w:val="000000"/>
                <w:sz w:val="20"/>
                <w:szCs w:val="20"/>
                <w:highlight w:val="none"/>
                <w:u w:val="none"/>
              </w:rPr>
            </w:pPr>
          </w:p>
        </w:tc>
        <w:tc>
          <w:tcPr>
            <w:tcW w:w="2249" w:type="dxa"/>
            <w:shd w:val="clear" w:color="auto" w:fill="FFFFFF"/>
            <w:vAlign w:val="center"/>
          </w:tcPr>
          <w:p>
            <w:pPr>
              <w:jc w:val="center"/>
              <w:rPr>
                <w:rFonts w:hint="default" w:ascii="Times New Roman" w:hAnsi="Times New Roman" w:eastAsia="宋体" w:cs="Times New Roman"/>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项 </w:t>
            </w:r>
            <w:r>
              <w:rPr>
                <w:rStyle w:val="10"/>
                <w:rFonts w:hint="default" w:ascii="Times New Roman" w:hAnsi="Times New Roman" w:cs="Times New Roman"/>
                <w:highlight w:val="none"/>
                <w:lang w:val="en-US" w:eastAsia="zh-CN" w:bidi="ar"/>
              </w:rPr>
              <w:t xml:space="preserve">   </w:t>
            </w:r>
            <w:r>
              <w:rPr>
                <w:rStyle w:val="11"/>
                <w:rFonts w:hint="default" w:ascii="Times New Roman" w:hAnsi="Times New Roman" w:cs="Times New Roman"/>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注：本表反映部门本年度国有资本经营预算财政拨款支出情况。</w:t>
            </w:r>
          </w:p>
        </w:tc>
      </w:tr>
    </w:tbl>
    <w:p>
      <w:pPr>
        <w:spacing w:line="56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lang w:eastAsia="zh-CN"/>
        </w:rPr>
        <w:t>柳州市信访</w:t>
      </w:r>
      <w:r>
        <w:rPr>
          <w:rFonts w:hint="default" w:ascii="Times New Roman" w:hAnsi="Times New Roman" w:cs="Times New Roman"/>
          <w:lang w:eastAsia="zh-CN"/>
        </w:rPr>
        <w:t>信息中心</w:t>
      </w:r>
      <w:r>
        <w:rPr>
          <w:rFonts w:hint="default" w:ascii="Times New Roman" w:hAnsi="Times New Roman" w:cs="Times New Roman"/>
        </w:rPr>
        <w:t>没有国有资本经营收入，也没有国有资本经营安排的支出，故本表无数据</w:t>
      </w:r>
      <w:r>
        <w:rPr>
          <w:rFonts w:hint="default" w:ascii="Times New Roman" w:hAnsi="Times New Roman" w:cs="Times New Roman"/>
          <w:lang w:eastAsia="zh-CN"/>
        </w:rPr>
        <w:t>。</w:t>
      </w:r>
    </w:p>
    <w:p>
      <w:pPr>
        <w:spacing w:line="560" w:lineRule="exact"/>
        <w:ind w:firstLine="420"/>
        <w:rPr>
          <w:rFonts w:hint="default" w:ascii="Times New Roman" w:hAnsi="Times New Roman" w:cs="Times New Roman"/>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rPr>
        <w:t>2020年度部门决算</w:t>
      </w:r>
    </w:p>
    <w:p>
      <w:pPr>
        <w:spacing w:line="58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情况说明</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w:t>
      </w:r>
      <w:r>
        <w:rPr>
          <w:rFonts w:hint="default" w:ascii="Times New Roman" w:hAnsi="Times New Roman" w:eastAsia="仿宋_GB2312" w:cs="Times New Roman"/>
          <w:b/>
          <w:kern w:val="0"/>
          <w:sz w:val="32"/>
          <w:szCs w:val="32"/>
        </w:rPr>
        <w:t>2020</w:t>
      </w:r>
      <w:r>
        <w:rPr>
          <w:rFonts w:hint="default" w:ascii="Times New Roman" w:hAnsi="Times New Roman" w:eastAsia="仿宋_GB2312" w:cs="Times New Roman"/>
          <w:b/>
          <w:kern w:val="0"/>
          <w:sz w:val="32"/>
          <w:szCs w:val="32"/>
        </w:rPr>
        <w:t>年度收入支出决算总体情况</w:t>
      </w:r>
    </w:p>
    <w:p>
      <w:pPr>
        <w:autoSpaceDE w:val="0"/>
        <w:autoSpaceDN w:val="0"/>
        <w:adjustRightInd w:val="0"/>
        <w:spacing w:line="580" w:lineRule="exact"/>
        <w:ind w:firstLine="643"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bCs/>
          <w:kern w:val="0"/>
          <w:sz w:val="32"/>
          <w:szCs w:val="32"/>
        </w:rPr>
        <w:t>2020年度收入总计</w:t>
      </w:r>
      <w:r>
        <w:rPr>
          <w:rFonts w:hint="default" w:ascii="Times New Roman" w:hAnsi="Times New Roman" w:eastAsia="仿宋_GB2312" w:cs="Times New Roman"/>
          <w:bCs/>
          <w:kern w:val="0"/>
          <w:sz w:val="32"/>
          <w:szCs w:val="32"/>
          <w:lang w:val="en-US" w:eastAsia="zh-CN"/>
        </w:rPr>
        <w:t>60.92</w:t>
      </w:r>
      <w:r>
        <w:rPr>
          <w:rFonts w:hint="default" w:ascii="Times New Roman" w:hAnsi="Times New Roman" w:eastAsia="仿宋_GB2312" w:cs="Times New Roman"/>
          <w:bCs/>
          <w:kern w:val="0"/>
          <w:sz w:val="32"/>
          <w:szCs w:val="32"/>
        </w:rPr>
        <w:t>万元，支出总计</w:t>
      </w:r>
      <w:r>
        <w:rPr>
          <w:rFonts w:hint="default" w:ascii="Times New Roman" w:hAnsi="Times New Roman" w:eastAsia="仿宋_GB2312" w:cs="Times New Roman"/>
          <w:bCs/>
          <w:kern w:val="0"/>
          <w:sz w:val="32"/>
          <w:szCs w:val="32"/>
          <w:lang w:val="en-US" w:eastAsia="zh-CN"/>
        </w:rPr>
        <w:t>60.92</w:t>
      </w:r>
      <w:r>
        <w:rPr>
          <w:rFonts w:hint="default" w:ascii="Times New Roman" w:hAnsi="Times New Roman" w:eastAsia="仿宋_GB2312" w:cs="Times New Roman"/>
          <w:bCs/>
          <w:kern w:val="0"/>
          <w:sz w:val="32"/>
          <w:szCs w:val="32"/>
        </w:rPr>
        <w:t>万元，与2019年相比，收、支</w:t>
      </w:r>
      <w:r>
        <w:rPr>
          <w:rFonts w:hint="default" w:ascii="Times New Roman" w:hAnsi="Times New Roman" w:eastAsia="仿宋_GB2312" w:cs="Times New Roman"/>
          <w:bCs/>
          <w:kern w:val="0"/>
          <w:sz w:val="32"/>
          <w:szCs w:val="32"/>
          <w:lang w:eastAsia="zh-CN"/>
        </w:rPr>
        <w:t>均</w:t>
      </w:r>
      <w:r>
        <w:rPr>
          <w:rFonts w:hint="default" w:ascii="Times New Roman" w:hAnsi="Times New Roman" w:eastAsia="仿宋_GB2312" w:cs="Times New Roman"/>
          <w:bCs/>
          <w:kern w:val="0"/>
          <w:sz w:val="32"/>
          <w:szCs w:val="32"/>
        </w:rPr>
        <w:t>增加</w:t>
      </w:r>
      <w:r>
        <w:rPr>
          <w:rFonts w:hint="default" w:ascii="Times New Roman" w:hAnsi="Times New Roman" w:eastAsia="仿宋_GB2312" w:cs="Times New Roman"/>
          <w:bCs/>
          <w:kern w:val="0"/>
          <w:sz w:val="32"/>
          <w:szCs w:val="32"/>
          <w:lang w:val="en-US" w:eastAsia="zh-CN"/>
        </w:rPr>
        <w:t>48.4万元</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均</w:t>
      </w:r>
      <w:r>
        <w:rPr>
          <w:rFonts w:hint="default" w:ascii="Times New Roman" w:hAnsi="Times New Roman" w:eastAsia="仿宋_GB2312" w:cs="Times New Roman"/>
          <w:bCs/>
          <w:kern w:val="0"/>
          <w:sz w:val="32"/>
          <w:szCs w:val="32"/>
        </w:rPr>
        <w:t>增长</w:t>
      </w:r>
      <w:r>
        <w:rPr>
          <w:rFonts w:hint="default" w:ascii="Times New Roman" w:hAnsi="Times New Roman" w:eastAsia="仿宋_GB2312" w:cs="Times New Roman"/>
          <w:bCs/>
          <w:kern w:val="0"/>
          <w:sz w:val="32"/>
          <w:szCs w:val="32"/>
          <w:lang w:val="en-US" w:eastAsia="zh-CN"/>
        </w:rPr>
        <w:t>386.58</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w:t>
      </w:r>
      <w:r>
        <w:rPr>
          <w:rFonts w:hint="default" w:ascii="Times New Roman" w:hAnsi="Times New Roman" w:eastAsia="仿宋_GB2312" w:cs="Times New Roman"/>
          <w:b/>
          <w:kern w:val="0"/>
          <w:sz w:val="32"/>
          <w:szCs w:val="32"/>
        </w:rPr>
        <w:t>2020</w:t>
      </w:r>
      <w:r>
        <w:rPr>
          <w:rFonts w:hint="default" w:ascii="Times New Roman" w:hAnsi="Times New Roman" w:eastAsia="仿宋_GB2312" w:cs="Times New Roman"/>
          <w:b/>
          <w:kern w:val="0"/>
          <w:sz w:val="32"/>
          <w:szCs w:val="32"/>
        </w:rPr>
        <w:t>年度收入决算情况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Cs/>
          <w:kern w:val="0"/>
          <w:sz w:val="32"/>
          <w:szCs w:val="32"/>
        </w:rPr>
        <w:t>本年收入总计</w:t>
      </w:r>
      <w:r>
        <w:rPr>
          <w:rFonts w:hint="default" w:ascii="Times New Roman" w:hAnsi="Times New Roman" w:eastAsia="仿宋_GB2312" w:cs="Times New Roman"/>
          <w:bCs/>
          <w:kern w:val="0"/>
          <w:sz w:val="32"/>
          <w:szCs w:val="32"/>
          <w:lang w:val="en-US" w:eastAsia="zh-CN"/>
        </w:rPr>
        <w:t>59.85</w:t>
      </w:r>
      <w:r>
        <w:rPr>
          <w:rFonts w:hint="default" w:ascii="Times New Roman" w:hAnsi="Times New Roman" w:eastAsia="仿宋_GB2312" w:cs="Times New Roman"/>
          <w:bCs/>
          <w:kern w:val="0"/>
          <w:sz w:val="32"/>
          <w:szCs w:val="32"/>
        </w:rPr>
        <w:t>万元 ，其中：一般公共预算财政拨款收入</w:t>
      </w:r>
      <w:r>
        <w:rPr>
          <w:rFonts w:hint="default" w:ascii="Times New Roman" w:hAnsi="Times New Roman" w:eastAsia="仿宋_GB2312" w:cs="Times New Roman"/>
          <w:bCs/>
          <w:kern w:val="0"/>
          <w:sz w:val="32"/>
          <w:szCs w:val="32"/>
          <w:lang w:val="en-US" w:eastAsia="zh-CN"/>
        </w:rPr>
        <w:t>59.85</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 ；政府基金预算财政拨款收入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；上级补助收入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事业收入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eastAsia" w:eastAsia="仿宋_GB2312" w:cs="Times New Roman"/>
          <w:bCs/>
          <w:kern w:val="0"/>
          <w:sz w:val="32"/>
          <w:szCs w:val="32"/>
          <w:lang w:val="en-US" w:eastAsia="zh-CN"/>
        </w:rPr>
        <w:t>；</w:t>
      </w:r>
      <w:r>
        <w:rPr>
          <w:rFonts w:hint="default" w:ascii="Times New Roman" w:hAnsi="Times New Roman" w:eastAsia="仿宋_GB2312" w:cs="Times New Roman"/>
          <w:bCs/>
          <w:kern w:val="0"/>
          <w:sz w:val="32"/>
          <w:szCs w:val="32"/>
        </w:rPr>
        <w:t>事业单位经营收入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其他收入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占比</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w:t>
      </w:r>
      <w:r>
        <w:rPr>
          <w:rFonts w:hint="default" w:ascii="Times New Roman" w:hAnsi="Times New Roman" w:eastAsia="仿宋_GB2312" w:cs="Times New Roman"/>
          <w:b/>
          <w:kern w:val="0"/>
          <w:sz w:val="32"/>
          <w:szCs w:val="32"/>
        </w:rPr>
        <w:t>2020</w:t>
      </w:r>
      <w:r>
        <w:rPr>
          <w:rFonts w:hint="default" w:ascii="Times New Roman" w:hAnsi="Times New Roman" w:eastAsia="仿宋_GB2312" w:cs="Times New Roman"/>
          <w:b/>
          <w:kern w:val="0"/>
          <w:sz w:val="32"/>
          <w:szCs w:val="32"/>
        </w:rPr>
        <w:t>年度支出决算情况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本年支出合计</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万元，其中：基本支出</w:t>
      </w:r>
      <w:r>
        <w:rPr>
          <w:rFonts w:hint="default" w:ascii="Times New Roman" w:hAnsi="Times New Roman" w:eastAsia="仿宋_GB2312" w:cs="Times New Roman"/>
          <w:bCs/>
          <w:kern w:val="0"/>
          <w:sz w:val="32"/>
          <w:szCs w:val="32"/>
          <w:lang w:val="en-US" w:eastAsia="zh-CN"/>
        </w:rPr>
        <w:t>30.17</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51.54</w:t>
      </w:r>
      <w:r>
        <w:rPr>
          <w:rFonts w:hint="default" w:ascii="Times New Roman" w:hAnsi="Times New Roman" w:eastAsia="仿宋_GB2312" w:cs="Times New Roman"/>
          <w:bCs/>
          <w:kern w:val="0"/>
          <w:sz w:val="32"/>
          <w:szCs w:val="32"/>
        </w:rPr>
        <w:t>%</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项目支出</w:t>
      </w:r>
      <w:r>
        <w:rPr>
          <w:rFonts w:hint="default" w:ascii="Times New Roman" w:hAnsi="Times New Roman" w:eastAsia="仿宋_GB2312" w:cs="Times New Roman"/>
          <w:bCs/>
          <w:kern w:val="0"/>
          <w:sz w:val="32"/>
          <w:szCs w:val="32"/>
          <w:lang w:val="en-US" w:eastAsia="zh-CN"/>
        </w:rPr>
        <w:t>28.38</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48.46</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rPr>
        <w:t>经营支出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%；上缴上级支出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；对附属单位补助支出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w:t>
      </w:r>
      <w:r>
        <w:rPr>
          <w:rFonts w:hint="default" w:ascii="Times New Roman" w:hAnsi="Times New Roman" w:eastAsia="仿宋_GB2312" w:cs="Times New Roman"/>
          <w:b/>
          <w:kern w:val="0"/>
          <w:sz w:val="32"/>
          <w:szCs w:val="32"/>
        </w:rPr>
        <w:t>2020</w:t>
      </w:r>
      <w:r>
        <w:rPr>
          <w:rFonts w:hint="default" w:ascii="Times New Roman" w:hAnsi="Times New Roman" w:eastAsia="仿宋_GB2312" w:cs="Times New Roman"/>
          <w:b/>
          <w:kern w:val="0"/>
          <w:sz w:val="32"/>
          <w:szCs w:val="32"/>
        </w:rPr>
        <w:t>年度财政拨款收入支出决算情况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本部门 2020年度财政拨款收、支总决算</w:t>
      </w:r>
      <w:r>
        <w:rPr>
          <w:rFonts w:hint="default" w:ascii="Times New Roman" w:hAnsi="Times New Roman" w:eastAsia="仿宋_GB2312" w:cs="Times New Roman"/>
          <w:bCs/>
          <w:kern w:val="0"/>
          <w:sz w:val="32"/>
          <w:szCs w:val="32"/>
          <w:lang w:val="en-US" w:eastAsia="zh-CN"/>
        </w:rPr>
        <w:t>60.92</w:t>
      </w:r>
      <w:r>
        <w:rPr>
          <w:rFonts w:hint="default" w:ascii="Times New Roman" w:hAnsi="Times New Roman" w:eastAsia="仿宋_GB2312" w:cs="Times New Roman"/>
          <w:bCs/>
          <w:kern w:val="0"/>
          <w:sz w:val="32"/>
          <w:szCs w:val="32"/>
        </w:rPr>
        <w:t>万元、</w:t>
      </w:r>
      <w:r>
        <w:rPr>
          <w:rFonts w:hint="default" w:ascii="Times New Roman" w:hAnsi="Times New Roman" w:eastAsia="仿宋_GB2312" w:cs="Times New Roman"/>
          <w:bCs/>
          <w:kern w:val="0"/>
          <w:sz w:val="32"/>
          <w:szCs w:val="32"/>
          <w:lang w:val="en-US" w:eastAsia="zh-CN"/>
        </w:rPr>
        <w:t>60.92</w:t>
      </w:r>
      <w:r>
        <w:rPr>
          <w:rFonts w:hint="default" w:ascii="Times New Roman" w:hAnsi="Times New Roman" w:eastAsia="仿宋_GB2312" w:cs="Times New Roman"/>
          <w:bCs/>
          <w:kern w:val="0"/>
          <w:sz w:val="32"/>
          <w:szCs w:val="32"/>
        </w:rPr>
        <w:t>万元。与 2019 年相比，财政拨款收、支总计各增加</w:t>
      </w:r>
      <w:r>
        <w:rPr>
          <w:rFonts w:hint="default" w:ascii="Times New Roman" w:hAnsi="Times New Roman" w:eastAsia="仿宋_GB2312" w:cs="Times New Roman"/>
          <w:bCs/>
          <w:kern w:val="0"/>
          <w:sz w:val="32"/>
          <w:szCs w:val="32"/>
          <w:lang w:val="en-US" w:eastAsia="zh-CN"/>
        </w:rPr>
        <w:t>48.4</w:t>
      </w:r>
      <w:r>
        <w:rPr>
          <w:rFonts w:hint="default" w:ascii="Times New Roman" w:hAnsi="Times New Roman" w:eastAsia="仿宋_GB2312" w:cs="Times New Roman"/>
          <w:bCs/>
          <w:kern w:val="0"/>
          <w:sz w:val="32"/>
          <w:szCs w:val="32"/>
        </w:rPr>
        <w:t>万元</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lang w:val="en-US" w:eastAsia="zh-CN"/>
        </w:rPr>
        <w:t>48.4万元</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均</w:t>
      </w:r>
      <w:r>
        <w:rPr>
          <w:rFonts w:hint="default" w:ascii="Times New Roman" w:hAnsi="Times New Roman" w:eastAsia="仿宋_GB2312" w:cs="Times New Roman"/>
          <w:bCs/>
          <w:kern w:val="0"/>
          <w:sz w:val="32"/>
          <w:szCs w:val="32"/>
        </w:rPr>
        <w:t>增长</w:t>
      </w:r>
      <w:r>
        <w:rPr>
          <w:rFonts w:hint="default" w:ascii="Times New Roman" w:hAnsi="Times New Roman" w:eastAsia="仿宋_GB2312" w:cs="Times New Roman"/>
          <w:bCs/>
          <w:kern w:val="0"/>
          <w:sz w:val="32"/>
          <w:szCs w:val="32"/>
          <w:lang w:val="en-US" w:eastAsia="zh-CN"/>
        </w:rPr>
        <w:t>386.58</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五、</w:t>
      </w:r>
      <w:r>
        <w:rPr>
          <w:rFonts w:hint="default" w:ascii="Times New Roman" w:hAnsi="Times New Roman" w:eastAsia="仿宋_GB2312" w:cs="Times New Roman"/>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（一）财政拨款支出决算情况。 </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部门 2020年度财政拨款支出</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万元，占本年支出合计的</w:t>
      </w:r>
      <w:r>
        <w:rPr>
          <w:rFonts w:hint="default" w:ascii="Times New Roman" w:hAnsi="Times New Roman" w:eastAsia="仿宋_GB2312" w:cs="Times New Roman"/>
          <w:bCs/>
          <w:kern w:val="0"/>
          <w:sz w:val="32"/>
          <w:szCs w:val="32"/>
          <w:lang w:val="en-US" w:eastAsia="zh-CN"/>
        </w:rPr>
        <w:t>96.09</w:t>
      </w:r>
      <w:r>
        <w:rPr>
          <w:rFonts w:hint="default" w:ascii="Times New Roman" w:hAnsi="Times New Roman" w:eastAsia="仿宋_GB2312" w:cs="Times New Roman"/>
          <w:bCs/>
          <w:kern w:val="0"/>
          <w:sz w:val="32"/>
          <w:szCs w:val="32"/>
        </w:rPr>
        <w:t>%。与 2019 年相比，财政拨款支出增</w:t>
      </w:r>
      <w:r>
        <w:rPr>
          <w:rFonts w:hint="default" w:ascii="Times New Roman" w:hAnsi="Times New Roman" w:eastAsia="仿宋_GB2312" w:cs="Times New Roman"/>
          <w:bCs/>
          <w:kern w:val="0"/>
          <w:sz w:val="32"/>
          <w:szCs w:val="32"/>
          <w:lang w:eastAsia="zh-CN"/>
        </w:rPr>
        <w:t>加</w:t>
      </w:r>
      <w:r>
        <w:rPr>
          <w:rFonts w:hint="default" w:ascii="Times New Roman" w:hAnsi="Times New Roman" w:eastAsia="仿宋_GB2312" w:cs="Times New Roman"/>
          <w:bCs/>
          <w:kern w:val="0"/>
          <w:sz w:val="32"/>
          <w:szCs w:val="32"/>
          <w:lang w:val="en-US" w:eastAsia="zh-CN"/>
        </w:rPr>
        <w:t>47.36</w:t>
      </w:r>
      <w:r>
        <w:rPr>
          <w:rFonts w:hint="default" w:ascii="Times New Roman" w:hAnsi="Times New Roman" w:eastAsia="仿宋_GB2312" w:cs="Times New Roman"/>
          <w:bCs/>
          <w:kern w:val="0"/>
          <w:sz w:val="32"/>
          <w:szCs w:val="32"/>
        </w:rPr>
        <w:t>万元，增加</w:t>
      </w:r>
      <w:r>
        <w:rPr>
          <w:rFonts w:hint="default" w:ascii="Times New Roman" w:hAnsi="Times New Roman" w:eastAsia="仿宋_GB2312" w:cs="Times New Roman"/>
          <w:bCs/>
          <w:kern w:val="0"/>
          <w:sz w:val="32"/>
          <w:szCs w:val="32"/>
          <w:lang w:val="en-US" w:eastAsia="zh-CN"/>
        </w:rPr>
        <w:t>423.61</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2020 年度财政拨款支出</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万元，主要用于以下方面：一般公共服务（类）支出</w:t>
      </w:r>
      <w:r>
        <w:rPr>
          <w:rFonts w:hint="default" w:ascii="Times New Roman" w:hAnsi="Times New Roman" w:eastAsia="仿宋_GB2312" w:cs="Times New Roman"/>
          <w:bCs/>
          <w:kern w:val="0"/>
          <w:sz w:val="32"/>
          <w:szCs w:val="32"/>
          <w:lang w:val="en-US" w:eastAsia="zh-CN"/>
        </w:rPr>
        <w:t>49.55</w:t>
      </w:r>
      <w:r>
        <w:rPr>
          <w:rFonts w:hint="default" w:ascii="Times New Roman" w:hAnsi="Times New Roman" w:eastAsia="仿宋_GB2312" w:cs="Times New Roman"/>
          <w:bCs/>
          <w:kern w:val="0"/>
          <w:sz w:val="32"/>
          <w:szCs w:val="32"/>
        </w:rPr>
        <w:t>万元， 占</w:t>
      </w:r>
      <w:r>
        <w:rPr>
          <w:rFonts w:hint="default" w:ascii="Times New Roman" w:hAnsi="Times New Roman" w:eastAsia="仿宋_GB2312" w:cs="Times New Roman"/>
          <w:bCs/>
          <w:kern w:val="0"/>
          <w:sz w:val="32"/>
          <w:szCs w:val="32"/>
          <w:lang w:val="en-US" w:eastAsia="zh-CN"/>
        </w:rPr>
        <w:t>84.64</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社会保障和就业（类）支出</w:t>
      </w:r>
      <w:r>
        <w:rPr>
          <w:rFonts w:hint="default" w:ascii="Times New Roman" w:hAnsi="Times New Roman" w:eastAsia="仿宋_GB2312" w:cs="Times New Roman"/>
          <w:bCs/>
          <w:kern w:val="0"/>
          <w:sz w:val="32"/>
          <w:szCs w:val="32"/>
          <w:lang w:val="en-US" w:eastAsia="zh-CN"/>
        </w:rPr>
        <w:t>4.77</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8.15</w:t>
      </w:r>
      <w:r>
        <w:rPr>
          <w:rFonts w:hint="default" w:ascii="Times New Roman" w:hAnsi="Times New Roman" w:eastAsia="仿宋_GB2312" w:cs="Times New Roman"/>
          <w:bCs/>
          <w:kern w:val="0"/>
          <w:sz w:val="32"/>
          <w:szCs w:val="32"/>
        </w:rPr>
        <w:t>%；卫生健康</w:t>
      </w:r>
      <w:r>
        <w:rPr>
          <w:rFonts w:hint="default" w:ascii="Times New Roman" w:hAnsi="Times New Roman" w:eastAsia="仿宋_GB2312" w:cs="Times New Roman"/>
          <w:bCs/>
          <w:kern w:val="0"/>
          <w:sz w:val="32"/>
          <w:szCs w:val="32"/>
          <w:lang w:eastAsia="zh-CN"/>
        </w:rPr>
        <w:t>（类）</w:t>
      </w:r>
      <w:r>
        <w:rPr>
          <w:rFonts w:hint="default" w:ascii="Times New Roman" w:hAnsi="Times New Roman" w:eastAsia="仿宋_GB2312" w:cs="Times New Roman"/>
          <w:bCs/>
          <w:kern w:val="0"/>
          <w:sz w:val="32"/>
          <w:szCs w:val="32"/>
        </w:rPr>
        <w:t>支出</w:t>
      </w:r>
      <w:r>
        <w:rPr>
          <w:rFonts w:hint="default" w:ascii="Times New Roman" w:hAnsi="Times New Roman" w:eastAsia="仿宋_GB2312" w:cs="Times New Roman"/>
          <w:bCs/>
          <w:kern w:val="0"/>
          <w:sz w:val="32"/>
          <w:szCs w:val="32"/>
          <w:lang w:val="en-US" w:eastAsia="zh-CN"/>
        </w:rPr>
        <w:t>1.23</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2.1</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住房保障（类）支出</w:t>
      </w:r>
      <w:r>
        <w:rPr>
          <w:rFonts w:hint="default" w:ascii="Times New Roman" w:hAnsi="Times New Roman" w:eastAsia="仿宋_GB2312" w:cs="Times New Roman"/>
          <w:bCs/>
          <w:kern w:val="0"/>
          <w:sz w:val="32"/>
          <w:szCs w:val="32"/>
          <w:lang w:val="en-US" w:eastAsia="zh-CN"/>
        </w:rPr>
        <w:t>3.00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5.12%。</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（三）财政拨款支出决算具体情况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2020 年度财政拨款支出年初预算为</w:t>
      </w:r>
      <w:r>
        <w:rPr>
          <w:rFonts w:hint="default" w:ascii="Times New Roman" w:hAnsi="Times New Roman" w:eastAsia="仿宋_GB2312" w:cs="Times New Roman"/>
          <w:bCs/>
          <w:kern w:val="0"/>
          <w:sz w:val="32"/>
          <w:szCs w:val="32"/>
          <w:lang w:val="en-US" w:eastAsia="zh-CN"/>
        </w:rPr>
        <w:t>23.67</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 xml:space="preserve">万元，完成年初预算的 </w:t>
      </w:r>
      <w:r>
        <w:rPr>
          <w:rFonts w:hint="default" w:ascii="Times New Roman" w:hAnsi="Times New Roman" w:eastAsia="仿宋_GB2312" w:cs="Times New Roman"/>
          <w:bCs/>
          <w:kern w:val="0"/>
          <w:sz w:val="32"/>
          <w:szCs w:val="32"/>
          <w:lang w:val="en-US" w:eastAsia="zh-CN"/>
        </w:rPr>
        <w:t>147.32</w:t>
      </w:r>
      <w:r>
        <w:rPr>
          <w:rFonts w:hint="default" w:ascii="Times New Roman" w:hAnsi="Times New Roman" w:eastAsia="仿宋_GB2312" w:cs="Times New Roman"/>
          <w:bCs/>
          <w:kern w:val="0"/>
          <w:sz w:val="32"/>
          <w:szCs w:val="32"/>
        </w:rPr>
        <w:t>%。决算数大于预算数的主要原因：一是年中追加安排财政拨款支出预算，涉及项目有</w:t>
      </w:r>
      <w:r>
        <w:rPr>
          <w:rFonts w:hint="default" w:ascii="Times New Roman" w:hAnsi="Times New Roman" w:eastAsia="仿宋_GB2312" w:cs="Times New Roman"/>
          <w:bCs/>
          <w:kern w:val="0"/>
          <w:sz w:val="32"/>
          <w:szCs w:val="32"/>
          <w:lang w:eastAsia="zh-CN"/>
        </w:rPr>
        <w:t>财政资金聘用人员经费，</w:t>
      </w:r>
      <w:r>
        <w:rPr>
          <w:rFonts w:hint="eastAsia" w:eastAsia="仿宋_GB2312" w:cs="Times New Roman"/>
          <w:bCs/>
          <w:kern w:val="0"/>
          <w:sz w:val="32"/>
          <w:szCs w:val="32"/>
          <w:lang w:val="en-US" w:eastAsia="zh-CN"/>
        </w:rPr>
        <w:t>2020年增人增资经费，+</w:t>
      </w:r>
      <w:bookmarkStart w:id="0" w:name="_GoBack"/>
      <w:bookmarkEnd w:id="0"/>
      <w:r>
        <w:rPr>
          <w:rFonts w:hint="default" w:ascii="Times New Roman" w:hAnsi="Times New Roman" w:eastAsia="仿宋_GB2312" w:cs="Times New Roman"/>
          <w:bCs/>
          <w:kern w:val="0"/>
          <w:sz w:val="32"/>
          <w:szCs w:val="32"/>
          <w:lang w:eastAsia="zh-CN"/>
        </w:rPr>
        <w:t>事业单位绩效工资增量及补发</w:t>
      </w:r>
      <w:r>
        <w:rPr>
          <w:rFonts w:hint="default" w:ascii="Times New Roman" w:hAnsi="Times New Roman" w:eastAsia="仿宋_GB2312" w:cs="Times New Roman"/>
          <w:bCs/>
          <w:kern w:val="0"/>
          <w:sz w:val="32"/>
          <w:szCs w:val="32"/>
          <w:lang w:val="en-US" w:eastAsia="zh-CN"/>
        </w:rPr>
        <w:t>2019年度差额</w:t>
      </w:r>
      <w:r>
        <w:rPr>
          <w:rFonts w:hint="default" w:ascii="Times New Roman" w:hAnsi="Times New Roman" w:eastAsia="仿宋_GB2312" w:cs="Times New Roman"/>
          <w:bCs/>
          <w:kern w:val="0"/>
          <w:sz w:val="32"/>
          <w:szCs w:val="32"/>
        </w:rPr>
        <w:t xml:space="preserve">；二是部分支出按规定，通过使用以前年度财政拨款结转资金解决。其中：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一般公共服务（类）党委办公厅（室）及相关机构事务（款）行政运行（项）。年初预算为</w:t>
      </w:r>
      <w:r>
        <w:rPr>
          <w:rFonts w:hint="default" w:ascii="Times New Roman" w:hAnsi="Times New Roman" w:eastAsia="仿宋_GB2312" w:cs="Times New Roman"/>
          <w:bCs/>
          <w:kern w:val="0"/>
          <w:sz w:val="32"/>
          <w:szCs w:val="32"/>
          <w:lang w:val="en-US" w:eastAsia="zh-CN"/>
        </w:rPr>
        <w:t>18.09</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20.09</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111.06</w:t>
      </w:r>
      <w:r>
        <w:rPr>
          <w:rFonts w:hint="default" w:ascii="Times New Roman" w:hAnsi="Times New Roman" w:eastAsia="仿宋_GB2312" w:cs="Times New Roman"/>
          <w:bCs/>
          <w:kern w:val="0"/>
          <w:sz w:val="32"/>
          <w:szCs w:val="32"/>
        </w:rPr>
        <w:t>%。决算数大于预算数的主要原因是</w:t>
      </w:r>
      <w:r>
        <w:rPr>
          <w:rFonts w:hint="default" w:ascii="Times New Roman" w:hAnsi="Times New Roman" w:eastAsia="仿宋_GB2312" w:cs="Times New Roman"/>
          <w:bCs/>
          <w:kern w:val="0"/>
          <w:sz w:val="32"/>
          <w:szCs w:val="32"/>
          <w:lang w:eastAsia="zh-CN"/>
        </w:rPr>
        <w:t>年度追加二层事业单位绩效工资增减量以及增人增资经费。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rPr>
        <w:t>一般公共服务（类）党委办公厅（室）及相关机构事务（款）其他党委办公厅（室）及相关机构事务支出（项）。年初预算为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28.37</w:t>
      </w:r>
      <w:r>
        <w:rPr>
          <w:rFonts w:hint="default" w:ascii="Times New Roman" w:hAnsi="Times New Roman" w:eastAsia="仿宋_GB2312" w:cs="Times New Roman"/>
          <w:bCs/>
          <w:kern w:val="0"/>
          <w:sz w:val="32"/>
          <w:szCs w:val="32"/>
        </w:rPr>
        <w:t>万元。决算数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default" w:ascii="Times New Roman" w:hAnsi="Times New Roman" w:eastAsia="仿宋_GB2312" w:cs="Times New Roman"/>
          <w:bCs/>
          <w:kern w:val="0"/>
          <w:sz w:val="32"/>
          <w:szCs w:val="32"/>
          <w:lang w:eastAsia="zh-CN"/>
        </w:rPr>
        <w:t>该项经费为当年追加</w:t>
      </w:r>
      <w:r>
        <w:rPr>
          <w:rFonts w:hint="default" w:ascii="Times New Roman" w:hAnsi="Times New Roman" w:eastAsia="仿宋_GB2312" w:cs="Times New Roman"/>
          <w:bCs/>
          <w:kern w:val="0"/>
          <w:sz w:val="32"/>
          <w:szCs w:val="32"/>
          <w:lang w:val="en-US" w:eastAsia="zh-CN"/>
        </w:rPr>
        <w:t>2020年二层机构聘用人员专项经费</w:t>
      </w:r>
      <w:r>
        <w:rPr>
          <w:rFonts w:hint="default" w:ascii="Times New Roman" w:hAnsi="Times New Roman"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一般公共服务（类）网信事务（款）</w:t>
      </w:r>
      <w:r>
        <w:rPr>
          <w:rFonts w:hint="default" w:ascii="Times New Roman" w:hAnsi="Times New Roman" w:eastAsia="仿宋_GB2312" w:cs="Times New Roman"/>
          <w:bCs/>
          <w:kern w:val="0"/>
          <w:sz w:val="32"/>
          <w:szCs w:val="32"/>
          <w:lang w:eastAsia="zh-CN"/>
        </w:rPr>
        <w:t>事业</w:t>
      </w:r>
      <w:r>
        <w:rPr>
          <w:rFonts w:hint="default" w:ascii="Times New Roman" w:hAnsi="Times New Roman" w:eastAsia="仿宋_GB2312" w:cs="Times New Roman"/>
          <w:bCs/>
          <w:kern w:val="0"/>
          <w:sz w:val="32"/>
          <w:szCs w:val="32"/>
        </w:rPr>
        <w:t>运行（项）。年初预算为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1.08</w:t>
      </w:r>
      <w:r>
        <w:rPr>
          <w:rFonts w:hint="default" w:ascii="Times New Roman" w:hAnsi="Times New Roman" w:eastAsia="仿宋_GB2312" w:cs="Times New Roman"/>
          <w:bCs/>
          <w:kern w:val="0"/>
          <w:sz w:val="32"/>
          <w:szCs w:val="32"/>
        </w:rPr>
        <w:t>万元。决算数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预算数的主要原因是</w:t>
      </w:r>
      <w:r>
        <w:rPr>
          <w:rFonts w:hint="default" w:ascii="Times New Roman" w:hAnsi="Times New Roman" w:eastAsia="仿宋_GB2312" w:cs="Times New Roman"/>
          <w:bCs/>
          <w:kern w:val="0"/>
          <w:sz w:val="32"/>
          <w:szCs w:val="32"/>
          <w:lang w:eastAsia="zh-CN"/>
        </w:rPr>
        <w:t>当年追加了</w:t>
      </w:r>
      <w:r>
        <w:rPr>
          <w:rFonts w:hint="default" w:ascii="Times New Roman" w:hAnsi="Times New Roman" w:eastAsia="仿宋_GB2312" w:cs="Times New Roman"/>
          <w:bCs/>
          <w:kern w:val="0"/>
          <w:sz w:val="32"/>
          <w:szCs w:val="32"/>
          <w:lang w:val="en-US" w:eastAsia="zh-CN"/>
        </w:rPr>
        <w:t>2019年度绩效考评奖励经费</w:t>
      </w:r>
      <w:r>
        <w:rPr>
          <w:rFonts w:hint="default" w:ascii="Times New Roman" w:hAnsi="Times New Roman" w:eastAsia="仿宋_GB2312" w:cs="Times New Roman"/>
          <w:bCs/>
          <w:kern w:val="0"/>
          <w:sz w:val="32"/>
          <w:szCs w:val="32"/>
          <w:lang w:eastAsia="zh-CN"/>
        </w:rPr>
        <w:t>及增人增资经费。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社会保障和就业支出（类）行政事业单位养老支出（款）机关事业单位基本养老保险缴费支出（项）。年初预算为</w:t>
      </w:r>
      <w:r>
        <w:rPr>
          <w:rFonts w:hint="default" w:ascii="Times New Roman" w:hAnsi="Times New Roman" w:eastAsia="仿宋_GB2312" w:cs="Times New Roman"/>
          <w:bCs/>
          <w:kern w:val="0"/>
          <w:sz w:val="32"/>
          <w:szCs w:val="32"/>
          <w:lang w:val="en-US" w:eastAsia="zh-CN"/>
        </w:rPr>
        <w:t>2.04</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3.75</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183.82%</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default" w:ascii="Times New Roman" w:hAnsi="Times New Roman" w:eastAsia="仿宋_GB2312" w:cs="Times New Roman"/>
          <w:bCs/>
          <w:kern w:val="0"/>
          <w:sz w:val="32"/>
          <w:szCs w:val="32"/>
          <w:lang w:eastAsia="zh-CN"/>
        </w:rPr>
        <w:t>当年追加</w:t>
      </w:r>
      <w:r>
        <w:rPr>
          <w:rFonts w:hint="default" w:ascii="Times New Roman" w:hAnsi="Times New Roman" w:eastAsia="仿宋_GB2312" w:cs="Times New Roman"/>
          <w:bCs/>
          <w:kern w:val="0"/>
          <w:sz w:val="32"/>
          <w:szCs w:val="32"/>
          <w:lang w:val="en-US" w:eastAsia="zh-CN"/>
        </w:rPr>
        <w:t>2020年增人增资经费及绩效总量增减量补差。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社会保障和就业支出（类）行政事业单位养老支出（款）机关事业单位职业年金缴费支出（项）。年初预算为</w:t>
      </w:r>
      <w:r>
        <w:rPr>
          <w:rFonts w:hint="default" w:ascii="Times New Roman" w:hAnsi="Times New Roman" w:eastAsia="仿宋_GB2312" w:cs="Times New Roman"/>
          <w:bCs/>
          <w:kern w:val="0"/>
          <w:sz w:val="32"/>
          <w:szCs w:val="32"/>
          <w:lang w:val="en-US" w:eastAsia="zh-CN"/>
        </w:rPr>
        <w:t>1.02</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1.02</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与</w:t>
      </w:r>
      <w:r>
        <w:rPr>
          <w:rFonts w:hint="default" w:ascii="Times New Roman" w:hAnsi="Times New Roman" w:eastAsia="仿宋_GB2312" w:cs="Times New Roman"/>
          <w:bCs/>
          <w:kern w:val="0"/>
          <w:sz w:val="32"/>
          <w:szCs w:val="32"/>
        </w:rPr>
        <w:t>预算数</w:t>
      </w:r>
      <w:r>
        <w:rPr>
          <w:rFonts w:hint="default" w:ascii="Times New Roman" w:hAnsi="Times New Roman" w:eastAsia="仿宋_GB2312" w:cs="Times New Roman"/>
          <w:bCs/>
          <w:kern w:val="0"/>
          <w:sz w:val="32"/>
          <w:szCs w:val="32"/>
          <w:lang w:eastAsia="zh-CN"/>
        </w:rPr>
        <w:t>基本一致。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6.</w:t>
      </w:r>
      <w:r>
        <w:rPr>
          <w:rFonts w:hint="default" w:ascii="Times New Roman" w:hAnsi="Times New Roman" w:eastAsia="仿宋_GB2312" w:cs="Times New Roman"/>
          <w:bCs/>
          <w:kern w:val="0"/>
          <w:sz w:val="32"/>
          <w:szCs w:val="32"/>
        </w:rPr>
        <w:t>卫生健康支出（类）行政事业单位医疗（款）</w:t>
      </w:r>
      <w:r>
        <w:rPr>
          <w:rFonts w:hint="default" w:ascii="Times New Roman" w:hAnsi="Times New Roman" w:eastAsia="仿宋_GB2312" w:cs="Times New Roman"/>
          <w:bCs/>
          <w:kern w:val="0"/>
          <w:sz w:val="32"/>
          <w:szCs w:val="32"/>
          <w:lang w:eastAsia="zh-CN"/>
        </w:rPr>
        <w:t>事业</w:t>
      </w:r>
      <w:r>
        <w:rPr>
          <w:rFonts w:hint="default" w:ascii="Times New Roman" w:hAnsi="Times New Roman" w:eastAsia="仿宋_GB2312" w:cs="Times New Roman"/>
          <w:bCs/>
          <w:kern w:val="0"/>
          <w:sz w:val="32"/>
          <w:szCs w:val="32"/>
        </w:rPr>
        <w:t>单位医疗（项）。年初预算为</w:t>
      </w:r>
      <w:r>
        <w:rPr>
          <w:rFonts w:hint="default" w:ascii="Times New Roman" w:hAnsi="Times New Roman" w:eastAsia="仿宋_GB2312" w:cs="Times New Roman"/>
          <w:bCs/>
          <w:kern w:val="0"/>
          <w:sz w:val="32"/>
          <w:szCs w:val="32"/>
          <w:lang w:val="en-US" w:eastAsia="zh-CN"/>
        </w:rPr>
        <w:t>0.98</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1.23</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125.51</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default" w:ascii="Times New Roman" w:hAnsi="Times New Roman" w:eastAsia="仿宋_GB2312" w:cs="Times New Roman"/>
          <w:bCs/>
          <w:kern w:val="0"/>
          <w:sz w:val="32"/>
          <w:szCs w:val="32"/>
          <w:lang w:eastAsia="zh-CN"/>
        </w:rPr>
        <w:t>当年追加</w:t>
      </w:r>
      <w:r>
        <w:rPr>
          <w:rFonts w:hint="default" w:ascii="Times New Roman" w:hAnsi="Times New Roman" w:eastAsia="仿宋_GB2312" w:cs="Times New Roman"/>
          <w:bCs/>
          <w:kern w:val="0"/>
          <w:sz w:val="32"/>
          <w:szCs w:val="32"/>
          <w:lang w:val="en-US" w:eastAsia="zh-CN"/>
        </w:rPr>
        <w:t>2020年增人增资经费及绩效总量增减量补差</w:t>
      </w:r>
      <w:r>
        <w:rPr>
          <w:rFonts w:hint="default" w:ascii="Times New Roman" w:hAnsi="Times New Roman"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7.</w:t>
      </w:r>
      <w:r>
        <w:rPr>
          <w:rFonts w:hint="default" w:ascii="Times New Roman" w:hAnsi="Times New Roman" w:eastAsia="仿宋_GB2312" w:cs="Times New Roman"/>
          <w:bCs/>
          <w:kern w:val="0"/>
          <w:sz w:val="32"/>
          <w:szCs w:val="32"/>
        </w:rPr>
        <w:t>住房保障支出（类）住房改革支出（款）</w:t>
      </w:r>
      <w:r>
        <w:rPr>
          <w:rFonts w:hint="default" w:ascii="Times New Roman" w:hAnsi="Times New Roman" w:eastAsia="仿宋_GB2312" w:cs="Times New Roman"/>
          <w:bCs/>
          <w:kern w:val="0"/>
          <w:sz w:val="32"/>
          <w:szCs w:val="32"/>
          <w:lang w:eastAsia="zh-CN"/>
        </w:rPr>
        <w:t>住房公积金</w:t>
      </w:r>
      <w:r>
        <w:rPr>
          <w:rFonts w:hint="default" w:ascii="Times New Roman" w:hAnsi="Times New Roman" w:eastAsia="仿宋_GB2312" w:cs="Times New Roman"/>
          <w:bCs/>
          <w:kern w:val="0"/>
          <w:sz w:val="32"/>
          <w:szCs w:val="32"/>
        </w:rPr>
        <w:t>（项）。年初预算为</w:t>
      </w:r>
      <w:r>
        <w:rPr>
          <w:rFonts w:hint="default" w:ascii="Times New Roman" w:hAnsi="Times New Roman" w:eastAsia="仿宋_GB2312" w:cs="Times New Roman"/>
          <w:bCs/>
          <w:kern w:val="0"/>
          <w:sz w:val="32"/>
          <w:szCs w:val="32"/>
          <w:lang w:val="en-US" w:eastAsia="zh-CN"/>
        </w:rPr>
        <w:t>1.53</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196.08</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default" w:ascii="Times New Roman" w:hAnsi="Times New Roman" w:eastAsia="仿宋_GB2312" w:cs="Times New Roman"/>
          <w:bCs/>
          <w:kern w:val="0"/>
          <w:sz w:val="32"/>
          <w:szCs w:val="32"/>
          <w:lang w:eastAsia="zh-CN"/>
        </w:rPr>
        <w:t>当年追加</w:t>
      </w:r>
      <w:r>
        <w:rPr>
          <w:rFonts w:hint="default" w:ascii="Times New Roman" w:hAnsi="Times New Roman" w:eastAsia="仿宋_GB2312" w:cs="Times New Roman"/>
          <w:bCs/>
          <w:kern w:val="0"/>
          <w:sz w:val="32"/>
          <w:szCs w:val="32"/>
          <w:lang w:val="en-US" w:eastAsia="zh-CN"/>
        </w:rPr>
        <w:t>2020年增人增资经费及绩效总量增减量补差。</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bCs w:val="0"/>
          <w:kern w:val="0"/>
          <w:sz w:val="32"/>
          <w:szCs w:val="32"/>
        </w:rPr>
        <w:t>六、2020年度一般公</w:t>
      </w:r>
      <w:r>
        <w:rPr>
          <w:rFonts w:hint="default" w:ascii="Times New Roman" w:hAnsi="Times New Roman" w:eastAsia="仿宋_GB2312" w:cs="Times New Roman"/>
          <w:b/>
          <w:kern w:val="0"/>
          <w:sz w:val="32"/>
          <w:szCs w:val="32"/>
        </w:rPr>
        <w:t>共预算财政拨款基本支出决算情况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2020年度财政拨款基本支出</w:t>
      </w:r>
      <w:r>
        <w:rPr>
          <w:rFonts w:hint="default" w:ascii="Times New Roman" w:hAnsi="Times New Roman" w:eastAsia="仿宋_GB2312" w:cs="Times New Roman"/>
          <w:bCs/>
          <w:kern w:val="0"/>
          <w:sz w:val="32"/>
          <w:szCs w:val="32"/>
          <w:lang w:val="en-US" w:eastAsia="zh-CN"/>
        </w:rPr>
        <w:t>30.17</w:t>
      </w:r>
      <w:r>
        <w:rPr>
          <w:rFonts w:hint="default" w:ascii="Times New Roman" w:hAnsi="Times New Roman" w:eastAsia="仿宋_GB2312" w:cs="Times New Roman"/>
          <w:bCs/>
          <w:kern w:val="0"/>
          <w:sz w:val="32"/>
          <w:szCs w:val="32"/>
        </w:rPr>
        <w:t>万元，其中：</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人员经费</w:t>
      </w:r>
      <w:r>
        <w:rPr>
          <w:rFonts w:hint="default" w:ascii="Times New Roman" w:hAnsi="Times New Roman" w:eastAsia="仿宋_GB2312" w:cs="Times New Roman"/>
          <w:bCs/>
          <w:kern w:val="0"/>
          <w:sz w:val="32"/>
          <w:szCs w:val="32"/>
          <w:lang w:val="en-US" w:eastAsia="zh-CN"/>
        </w:rPr>
        <w:t>27.27</w:t>
      </w:r>
      <w:r>
        <w:rPr>
          <w:rFonts w:hint="default" w:ascii="Times New Roman" w:hAnsi="Times New Roman" w:eastAsia="仿宋_GB2312" w:cs="Times New Roman"/>
          <w:bCs/>
          <w:kern w:val="0"/>
          <w:sz w:val="32"/>
          <w:szCs w:val="32"/>
        </w:rPr>
        <w:t>万元，主要包括：基本工资、津贴补贴、 奖金、绩效工资、职工基本医疗保险缴费</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机关事业单位基本养老保险缴费、职业年金缴费、其他社会保障缴费、住房公积金；</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公用经费</w:t>
      </w:r>
      <w:r>
        <w:rPr>
          <w:rFonts w:hint="default" w:ascii="Times New Roman" w:hAnsi="Times New Roman" w:eastAsia="仿宋_GB2312" w:cs="Times New Roman"/>
          <w:bCs/>
          <w:kern w:val="0"/>
          <w:sz w:val="32"/>
          <w:szCs w:val="32"/>
          <w:lang w:val="en-US" w:eastAsia="zh-CN"/>
        </w:rPr>
        <w:t>2.9</w:t>
      </w:r>
      <w:r>
        <w:rPr>
          <w:rFonts w:hint="default" w:ascii="Times New Roman" w:hAnsi="Times New Roman" w:eastAsia="仿宋_GB2312" w:cs="Times New Roman"/>
          <w:bCs/>
          <w:kern w:val="0"/>
          <w:sz w:val="32"/>
          <w:szCs w:val="32"/>
        </w:rPr>
        <w:t>万元，主要包括：办公费、邮电费、差旅费、维 修（护）费、工会经费、其他商品和服务支出</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bCs w:val="0"/>
          <w:kern w:val="0"/>
          <w:sz w:val="32"/>
          <w:szCs w:val="32"/>
        </w:rPr>
        <w:t>七、2020 年度一</w:t>
      </w:r>
      <w:r>
        <w:rPr>
          <w:rFonts w:hint="default" w:ascii="Times New Roman" w:hAnsi="Times New Roman" w:eastAsia="仿宋_GB2312" w:cs="Times New Roman"/>
          <w:b/>
          <w:kern w:val="0"/>
          <w:sz w:val="32"/>
          <w:szCs w:val="32"/>
        </w:rPr>
        <w:t>般公共预算财政拨款“三公” 经费支出决算情况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2020 年度“三公”经费财政拨款支出预算为</w:t>
      </w:r>
      <w:r>
        <w:rPr>
          <w:rFonts w:hint="default" w:ascii="Times New Roman" w:hAnsi="Times New Roman" w:eastAsia="仿宋_GB2312" w:cs="Times New Roman"/>
          <w:bCs/>
          <w:kern w:val="0"/>
          <w:sz w:val="32"/>
          <w:szCs w:val="32"/>
          <w:lang w:val="en-US" w:eastAsia="zh-CN"/>
        </w:rPr>
        <w:t>0.11</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%，其中：因公出国（境）费支出决算为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%；公务用车购置及运行费支出决算为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%；公务接待费支出决算为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2020年度“三公”经费财政拨款支出决算数比2019年减少</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%，其中：因公出国（境）费支出决 算减少</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%；公务用车购置及运行费支出决算减少</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%；公务接待费支出决算减少</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jc w:val="left"/>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 xml:space="preserve">     因公出国（境）费支出</w:t>
      </w:r>
      <w:r>
        <w:rPr>
          <w:rFonts w:hint="default" w:ascii="Times New Roman" w:hAnsi="Times New Roman" w:eastAsia="仿宋_GB2312" w:cs="Times New Roman"/>
          <w:bCs/>
          <w:kern w:val="0"/>
          <w:sz w:val="32"/>
          <w:szCs w:val="32"/>
          <w:lang w:eastAsia="zh-CN"/>
        </w:rPr>
        <w:t>无变化</w:t>
      </w:r>
      <w:r>
        <w:rPr>
          <w:rFonts w:hint="default" w:ascii="Times New Roman" w:hAnsi="Times New Roman" w:eastAsia="仿宋_GB2312" w:cs="Times New Roman"/>
          <w:bCs/>
          <w:kern w:val="0"/>
          <w:sz w:val="32"/>
          <w:szCs w:val="32"/>
        </w:rPr>
        <w:t>；公务用车购置及运行费支出</w:t>
      </w:r>
      <w:r>
        <w:rPr>
          <w:rFonts w:hint="default" w:ascii="Times New Roman" w:hAnsi="Times New Roman" w:eastAsia="仿宋_GB2312" w:cs="Times New Roman"/>
          <w:bCs/>
          <w:kern w:val="0"/>
          <w:sz w:val="32"/>
          <w:szCs w:val="32"/>
          <w:lang w:eastAsia="zh-CN"/>
        </w:rPr>
        <w:t>无变化</w:t>
      </w:r>
      <w:r>
        <w:rPr>
          <w:rFonts w:hint="default" w:ascii="Times New Roman" w:hAnsi="Times New Roman" w:eastAsia="仿宋_GB2312" w:cs="Times New Roman"/>
          <w:bCs/>
          <w:kern w:val="0"/>
          <w:sz w:val="32"/>
          <w:szCs w:val="32"/>
        </w:rPr>
        <w:t>；公务接待费支出</w:t>
      </w:r>
      <w:r>
        <w:rPr>
          <w:rFonts w:hint="default" w:ascii="Times New Roman" w:hAnsi="Times New Roman" w:eastAsia="仿宋_GB2312" w:cs="Times New Roman"/>
          <w:bCs/>
          <w:kern w:val="0"/>
          <w:sz w:val="32"/>
          <w:szCs w:val="32"/>
          <w:lang w:eastAsia="zh-CN"/>
        </w:rPr>
        <w:t>无变化。</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（二）“三公”经费财政拨款支出决算具体情况</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2020年度“三公”经费财政拨款支出决算中，因公出国（境）费支出决算</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%；公务用车购置及运行费 支出决算</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%；公务接待费支出决算</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 xml:space="preserve">%。具体情况如下：  </w:t>
      </w:r>
    </w:p>
    <w:p>
      <w:pPr>
        <w:numPr>
          <w:numId w:val="0"/>
        </w:num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eastAsia"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因公出国（境）费支出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万元。全年安排机关和所属单位因公出国（境）团组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个，累计</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人次。</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rPr>
        <w:t>公务用车购置及运行费支出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万元。其中： 公务用车购置支出为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万元。公务用车运行支出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万元。2020年，机关所属单位开支财政拨款的公务用车保有量为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辆。</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3.公务接待费支出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万元。其中：</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外宾接待支出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万元。2020 年共接待国（境）外来访团组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个、来访外宾</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人次。</w:t>
      </w:r>
    </w:p>
    <w:p>
      <w:pPr>
        <w:autoSpaceDE w:val="0"/>
        <w:autoSpaceDN w:val="0"/>
        <w:adjustRightInd w:val="0"/>
        <w:spacing w:line="580" w:lineRule="exact"/>
        <w:jc w:val="left"/>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 xml:space="preserve">    国内公务接待支出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万元。2020 年共接待国内来访团组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个、来宾</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人次</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highlight w:val="none"/>
          <w:lang w:eastAsia="zh-CN"/>
        </w:rPr>
        <w:t xml:space="preserve">   </w:t>
      </w:r>
      <w:r>
        <w:rPr>
          <w:rFonts w:hint="default" w:ascii="Times New Roman" w:hAnsi="Times New Roman" w:eastAsia="仿宋_GB2312" w:cs="Times New Roman"/>
          <w:b/>
          <w:kern w:val="0"/>
          <w:sz w:val="32"/>
          <w:szCs w:val="32"/>
          <w:highlight w:val="none"/>
          <w:lang w:val="en-US" w:eastAsia="zh-CN"/>
        </w:rPr>
        <w:t xml:space="preserve"> </w:t>
      </w:r>
      <w:r>
        <w:rPr>
          <w:rFonts w:hint="default" w:ascii="Times New Roman" w:hAnsi="Times New Roman" w:eastAsia="仿宋_GB2312" w:cs="Times New Roman"/>
          <w:b/>
          <w:kern w:val="0"/>
          <w:sz w:val="32"/>
          <w:szCs w:val="32"/>
          <w:highlight w:val="none"/>
          <w:lang w:eastAsia="zh-CN"/>
        </w:rPr>
        <w:t>八、2020 年度政</w:t>
      </w:r>
      <w:r>
        <w:rPr>
          <w:rFonts w:hint="default" w:ascii="Times New Roman" w:hAnsi="Times New Roman" w:eastAsia="仿宋_GB2312" w:cs="Times New Roman"/>
          <w:b/>
          <w:kern w:val="0"/>
          <w:sz w:val="32"/>
          <w:szCs w:val="32"/>
        </w:rPr>
        <w:t xml:space="preserve">府性基金预算财政拨款收入支出决算情况说明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bCs/>
          <w:kern w:val="0"/>
          <w:sz w:val="32"/>
          <w:szCs w:val="32"/>
          <w:highlight w:val="none"/>
        </w:rPr>
        <w:t xml:space="preserve">本部门 2020年度政府基金预算财政拨款收、支总决算 </w:t>
      </w:r>
      <w:r>
        <w:rPr>
          <w:rFonts w:hint="default"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万元、</w:t>
      </w:r>
      <w:r>
        <w:rPr>
          <w:rFonts w:hint="default"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万元。与 2019 年相比，收、支总计各增加</w:t>
      </w:r>
      <w:r>
        <w:rPr>
          <w:rFonts w:hint="default"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万元，增长</w:t>
      </w:r>
      <w:r>
        <w:rPr>
          <w:rFonts w:hint="default"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w:t>
      </w:r>
    </w:p>
    <w:p>
      <w:pPr>
        <w:numPr>
          <w:ilvl w:val="0"/>
          <w:numId w:val="1"/>
        </w:num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highlight w:val="none"/>
          <w:lang w:eastAsia="zh-CN"/>
        </w:rPr>
      </w:pPr>
      <w:r>
        <w:rPr>
          <w:rFonts w:hint="default" w:ascii="Times New Roman" w:hAnsi="Times New Roman" w:eastAsia="仿宋_GB2312" w:cs="Times New Roman"/>
          <w:b/>
          <w:kern w:val="0"/>
          <w:sz w:val="32"/>
          <w:szCs w:val="32"/>
          <w:highlight w:val="none"/>
          <w:lang w:eastAsia="zh-CN"/>
        </w:rPr>
        <w:t>国有资本经营预算财政拨款支出情况说明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val="0"/>
          <w:bCs/>
          <w:kern w:val="0"/>
          <w:sz w:val="32"/>
          <w:szCs w:val="32"/>
          <w:highlight w:val="none"/>
          <w:lang w:val="en-US" w:eastAsia="zh-CN"/>
        </w:rPr>
      </w:pPr>
      <w:r>
        <w:rPr>
          <w:rFonts w:hint="default" w:ascii="Times New Roman" w:hAnsi="Times New Roman" w:eastAsia="仿宋_GB2312" w:cs="Times New Roman"/>
          <w:b/>
          <w:kern w:val="0"/>
          <w:sz w:val="32"/>
          <w:szCs w:val="32"/>
          <w:highlight w:val="none"/>
          <w:lang w:val="en-US" w:eastAsia="zh-CN"/>
        </w:rPr>
        <w:t xml:space="preserve"> </w:t>
      </w:r>
      <w:r>
        <w:rPr>
          <w:rFonts w:hint="default" w:ascii="Times New Roman" w:hAnsi="Times New Roman" w:eastAsia="仿宋_GB2312" w:cs="Times New Roman"/>
          <w:b w:val="0"/>
          <w:bCs/>
          <w:kern w:val="0"/>
          <w:sz w:val="32"/>
          <w:szCs w:val="32"/>
          <w:highlight w:val="none"/>
          <w:lang w:val="en-US" w:eastAsia="zh-CN"/>
        </w:rPr>
        <w:t>2020年度国有资本经营预算财政拨款本年支出</w:t>
      </w:r>
      <w:r>
        <w:rPr>
          <w:rFonts w:hint="default" w:ascii="Times New Roman" w:hAnsi="Times New Roman" w:eastAsia="仿宋_GB2312" w:cs="Times New Roman"/>
          <w:b w:val="0"/>
          <w:bCs/>
          <w:kern w:val="0"/>
          <w:sz w:val="32"/>
          <w:szCs w:val="32"/>
          <w:highlight w:val="none"/>
          <w:lang w:val="en-US" w:eastAsia="zh-CN"/>
        </w:rPr>
        <w:t>0</w:t>
      </w:r>
      <w:r>
        <w:rPr>
          <w:rFonts w:hint="default" w:ascii="Times New Roman" w:hAnsi="Times New Roman" w:eastAsia="仿宋_GB2312" w:cs="Times New Roman"/>
          <w:b w:val="0"/>
          <w:bCs/>
          <w:kern w:val="0"/>
          <w:sz w:val="32"/>
          <w:szCs w:val="32"/>
          <w:highlight w:val="none"/>
          <w:lang w:val="en-US" w:eastAsia="zh-CN"/>
        </w:rPr>
        <w:t>万元。</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lang w:eastAsia="zh-CN"/>
        </w:rPr>
        <w:t>十、</w:t>
      </w:r>
      <w:r>
        <w:rPr>
          <w:rFonts w:hint="default" w:ascii="Times New Roman" w:hAnsi="Times New Roman" w:eastAsia="仿宋_GB2312" w:cs="Times New Roman"/>
          <w:b/>
          <w:kern w:val="0"/>
          <w:sz w:val="32"/>
          <w:szCs w:val="32"/>
        </w:rPr>
        <w:t>2020</w:t>
      </w:r>
      <w:r>
        <w:rPr>
          <w:rFonts w:hint="default" w:ascii="Times New Roman" w:hAnsi="Times New Roman" w:eastAsia="仿宋_GB2312" w:cs="Times New Roman"/>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绩效管理工作开展情况</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bCs/>
          <w:kern w:val="0"/>
          <w:sz w:val="32"/>
          <w:szCs w:val="32"/>
        </w:rPr>
        <w:t>根据财政预算管理要求，我</w:t>
      </w:r>
      <w:r>
        <w:rPr>
          <w:rFonts w:hint="default" w:ascii="Times New Roman" w:hAnsi="Times New Roman" w:eastAsia="仿宋_GB2312" w:cs="Times New Roman"/>
          <w:bCs/>
          <w:kern w:val="0"/>
          <w:sz w:val="32"/>
          <w:szCs w:val="32"/>
          <w:lang w:eastAsia="zh-CN"/>
        </w:rPr>
        <w:t>单位</w:t>
      </w:r>
      <w:r>
        <w:rPr>
          <w:rFonts w:hint="default" w:ascii="Times New Roman" w:hAnsi="Times New Roman" w:eastAsia="仿宋_GB2312" w:cs="Times New Roman"/>
          <w:bCs/>
          <w:kern w:val="0"/>
          <w:sz w:val="32"/>
          <w:szCs w:val="32"/>
        </w:rPr>
        <w:t>组织对2020年度一般公共预算项目支出全面开展绩效自评。</w:t>
      </w:r>
      <w:r>
        <w:rPr>
          <w:rFonts w:hint="default" w:ascii="Times New Roman" w:hAnsi="Times New Roman" w:eastAsia="仿宋_GB2312" w:cs="Times New Roman"/>
          <w:bCs/>
          <w:kern w:val="0"/>
          <w:sz w:val="32"/>
          <w:szCs w:val="32"/>
          <w:lang w:eastAsia="zh-CN"/>
        </w:rPr>
        <w:t>本单位为整体支出绩效</w:t>
      </w:r>
      <w:r>
        <w:rPr>
          <w:rFonts w:hint="default" w:ascii="Times New Roman" w:hAnsi="Times New Roman" w:eastAsia="仿宋_GB2312" w:cs="Times New Roman"/>
          <w:bCs/>
          <w:kern w:val="0"/>
          <w:sz w:val="32"/>
          <w:szCs w:val="32"/>
        </w:rPr>
        <w:t>，共涉及预算资金</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万元，自评覆盖率达到</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w:t>
      </w:r>
    </w:p>
    <w:p>
      <w:pPr>
        <w:numPr>
          <w:ilvl w:val="0"/>
          <w:numId w:val="2"/>
        </w:numPr>
        <w:autoSpaceDE w:val="0"/>
        <w:autoSpaceDN w:val="0"/>
        <w:adjustRightInd w:val="0"/>
        <w:spacing w:line="580" w:lineRule="exact"/>
        <w:ind w:left="0" w:leftChars="0"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部门决算中项目绩效自评结果。</w:t>
      </w:r>
    </w:p>
    <w:p>
      <w:pPr>
        <w:numPr>
          <w:numId w:val="0"/>
        </w:numPr>
        <w:autoSpaceDE w:val="0"/>
        <w:autoSpaceDN w:val="0"/>
        <w:adjustRightInd w:val="0"/>
        <w:spacing w:line="580" w:lineRule="exact"/>
        <w:ind w:left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 xml:space="preserve">  </w:t>
      </w:r>
      <w:r>
        <w:rPr>
          <w:rFonts w:hint="default" w:ascii="Times New Roman" w:hAnsi="Times New Roman" w:eastAsia="仿宋_GB2312" w:cs="Times New Roman"/>
          <w:bCs/>
          <w:kern w:val="0"/>
          <w:sz w:val="32"/>
          <w:szCs w:val="32"/>
          <w:lang w:eastAsia="zh-CN"/>
        </w:rPr>
        <w:t>我单位无项目绩效。</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十</w:t>
      </w:r>
      <w:r>
        <w:rPr>
          <w:rFonts w:hint="default" w:ascii="Times New Roman" w:hAnsi="Times New Roman" w:eastAsia="仿宋_GB2312" w:cs="Times New Roman"/>
          <w:b/>
          <w:kern w:val="0"/>
          <w:sz w:val="32"/>
          <w:szCs w:val="32"/>
          <w:lang w:eastAsia="zh-CN"/>
        </w:rPr>
        <w:t>一</w:t>
      </w:r>
      <w:r>
        <w:rPr>
          <w:rFonts w:hint="default" w:ascii="Times New Roman" w:hAnsi="Times New Roman" w:eastAsia="仿宋_GB2312" w:cs="Times New Roman"/>
          <w:b/>
          <w:kern w:val="0"/>
          <w:sz w:val="32"/>
          <w:szCs w:val="32"/>
        </w:rPr>
        <w:t>、其他重要事项的情况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（一）机关运行经费支出情况。2020年度部门机关运行经费支出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万元，比 2019年增加 </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（二）政府采购支出情况。2020年度部门政府采购支出总额</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万元，其中：货物支出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万元、工程支出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万元、服务支出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utoSpaceDE w:val="0"/>
        <w:autoSpaceDN w:val="0"/>
        <w:adjustRightInd w:val="0"/>
        <w:spacing w:line="580" w:lineRule="exact"/>
        <w:ind w:firstLine="627" w:firstLineChars="196"/>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（三）国有资产占用情况。截至年末部门共有车辆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辆，其中：公务用车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辆；执法执勤用车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辆；专业技术用车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 以上通用设备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 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台（套）。 </w:t>
      </w:r>
    </w:p>
    <w:p>
      <w:pPr>
        <w:spacing w:line="58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第四部分：名词解释</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财政拨款收入：指市本级财政当年拨付的资金。</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事业收入：指事业单位开展专业活动用辅助活动所取得的收入。如：......</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经营收入：指事业单位在专业业务活动及辅助活动之外开展非独立核算经营活动取得的收入。</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其他收入：指除上述“财政拨款收入”、“事业收入”、“经营收入”等以外的收入。主要是：......</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使用非财政拨款结余</w:t>
      </w:r>
      <w:r>
        <w:rPr>
          <w:rFonts w:hint="default" w:ascii="Times New Roman" w:hAnsi="Times New Roman" w:eastAsia="仿宋_GB2312" w:cs="Times New Roman"/>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年初结转和结余：指以前年度尚未完成、结转到本年按规定继续使用的资金。</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基本支出：指为保障机构正常运转、完成日常工作任务而发生的人员支出和公用支出。</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项目支出：指在基本支出之外为完成特定行政任务和事业发展目标所发生的支出。</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经营支出：指事业单位在专业业务活动及其辅助活动之外开展非独立核算经营活动发生的支出。</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default" w:ascii="Times New Roman" w:hAnsi="Times New Roman" w:eastAsia="仿宋_GB2312" w:cs="Times New Roman"/>
          <w:kern w:val="0"/>
          <w:sz w:val="32"/>
          <w:szCs w:val="32"/>
        </w:rPr>
      </w:pPr>
    </w:p>
    <w:p>
      <w:pPr>
        <w:rPr>
          <w:rFonts w:hint="default" w:ascii="Times New Roman" w:hAnsi="Times New Roman" w:cs="Times New Roman"/>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超粗黑繁体">
    <w:panose1 w:val="02010601030101010101"/>
    <w:charset w:val="86"/>
    <w:family w:val="auto"/>
    <w:pitch w:val="default"/>
    <w:sig w:usb0="00000001" w:usb1="080E0000" w:usb2="00000000" w:usb3="00000000" w:csb0="00040000" w:csb1="00000000"/>
  </w:font>
  <w:font w:name="Gill Sans MT Ext Condensed Bold">
    <w:panose1 w:val="020B09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oudy Stout">
    <w:panose1 w:val="0202090407030B020401"/>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oolBoran">
    <w:panose1 w:val="020B0100010101010101"/>
    <w:charset w:val="00"/>
    <w:family w:val="auto"/>
    <w:pitch w:val="default"/>
    <w:sig w:usb0="8000000F" w:usb1="0000204A" w:usb2="00010000" w:usb3="00000000" w:csb0="00000001" w:csb1="00000000"/>
  </w:font>
  <w:font w:name="MS PGothic">
    <w:panose1 w:val="020B0600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 w:name="Perpetua">
    <w:panose1 w:val="02020502060401020303"/>
    <w:charset w:val="00"/>
    <w:family w:val="auto"/>
    <w:pitch w:val="default"/>
    <w:sig w:usb0="0000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2FF67C4"/>
    <w:rsid w:val="0CE35F94"/>
    <w:rsid w:val="0E074DDF"/>
    <w:rsid w:val="124204B5"/>
    <w:rsid w:val="182962AB"/>
    <w:rsid w:val="18C7076F"/>
    <w:rsid w:val="19D073EB"/>
    <w:rsid w:val="1BC148BB"/>
    <w:rsid w:val="1C7D6311"/>
    <w:rsid w:val="1CC31F67"/>
    <w:rsid w:val="24D337DC"/>
    <w:rsid w:val="26460DBA"/>
    <w:rsid w:val="2B6F74EB"/>
    <w:rsid w:val="2C4219FE"/>
    <w:rsid w:val="2DDD1B32"/>
    <w:rsid w:val="31616A85"/>
    <w:rsid w:val="34020F86"/>
    <w:rsid w:val="34745FCA"/>
    <w:rsid w:val="39A63F06"/>
    <w:rsid w:val="3E0906EA"/>
    <w:rsid w:val="3ED1439F"/>
    <w:rsid w:val="48374EDC"/>
    <w:rsid w:val="4C256E3D"/>
    <w:rsid w:val="4CB52F0F"/>
    <w:rsid w:val="503D530F"/>
    <w:rsid w:val="532F1F9A"/>
    <w:rsid w:val="548B1F22"/>
    <w:rsid w:val="59AB2E42"/>
    <w:rsid w:val="5E995A3E"/>
    <w:rsid w:val="5FBC30B6"/>
    <w:rsid w:val="62163194"/>
    <w:rsid w:val="624D024D"/>
    <w:rsid w:val="650E086A"/>
    <w:rsid w:val="663E3241"/>
    <w:rsid w:val="6BAA0708"/>
    <w:rsid w:val="6C8E13A2"/>
    <w:rsid w:val="6DF97E68"/>
    <w:rsid w:val="6F0533D9"/>
    <w:rsid w:val="70363DF4"/>
    <w:rsid w:val="76E92FEF"/>
    <w:rsid w:val="7A915ECB"/>
    <w:rsid w:val="7CF96551"/>
    <w:rsid w:val="7EC6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uiPriority w:val="0"/>
    <w:rPr>
      <w:rFonts w:hint="eastAsia" w:ascii="宋体" w:hAnsi="宋体" w:eastAsia="宋体" w:cs="宋体"/>
      <w:color w:val="000000"/>
      <w:sz w:val="22"/>
      <w:szCs w:val="22"/>
      <w:u w:val="none"/>
    </w:rPr>
  </w:style>
  <w:style w:type="character" w:customStyle="1" w:styleId="11">
    <w:name w:val="font0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12</TotalTime>
  <ScaleCrop>false</ScaleCrop>
  <LinksUpToDate>false</LinksUpToDate>
  <CharactersWithSpaces>8540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lenovo</cp:lastModifiedBy>
  <cp:lastPrinted>2021-08-20T08:16:30Z</cp:lastPrinted>
  <dcterms:modified xsi:type="dcterms:W3CDTF">2021-08-20T08:20:33Z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9059A113352A4BB6BE76148375F23C43</vt:lpwstr>
  </property>
</Properties>
</file>