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kern w:val="0"/>
          <w:sz w:val="32"/>
          <w:szCs w:val="32"/>
        </w:rPr>
      </w:pPr>
    </w:p>
    <w:p>
      <w:pPr>
        <w:rPr>
          <w:rFonts w:hint="default" w:ascii="Times New Roman" w:hAnsi="Times New Roman" w:eastAsia="黑体" w:cs="Times New Roman"/>
          <w:kern w:val="0"/>
          <w:sz w:val="72"/>
          <w:szCs w:val="72"/>
        </w:rPr>
      </w:pPr>
    </w:p>
    <w:p>
      <w:pPr>
        <w:rPr>
          <w:rFonts w:hint="default" w:ascii="Times New Roman" w:hAnsi="Times New Roman" w:eastAsia="黑体" w:cs="Times New Roman"/>
          <w:kern w:val="0"/>
          <w:sz w:val="72"/>
          <w:szCs w:val="72"/>
        </w:rPr>
      </w:pPr>
    </w:p>
    <w:p>
      <w:pPr>
        <w:jc w:val="center"/>
        <w:rPr>
          <w:rFonts w:hint="default" w:ascii="Times New Roman" w:hAnsi="Times New Roman" w:eastAsia="黑体" w:cs="Times New Roman"/>
          <w:kern w:val="0"/>
          <w:sz w:val="52"/>
          <w:szCs w:val="52"/>
          <w:lang w:eastAsia="zh-CN"/>
        </w:rPr>
      </w:pPr>
      <w:r>
        <w:rPr>
          <w:rFonts w:hint="default" w:ascii="Times New Roman" w:hAnsi="Times New Roman" w:eastAsia="黑体" w:cs="Times New Roman"/>
          <w:kern w:val="0"/>
          <w:sz w:val="52"/>
          <w:szCs w:val="52"/>
          <w:lang w:eastAsia="zh-CN"/>
        </w:rPr>
        <w:t>中共柳州市委员会柳州市人民政府</w:t>
      </w:r>
      <w:r>
        <w:rPr>
          <w:rFonts w:hint="default" w:ascii="Times New Roman" w:hAnsi="Times New Roman" w:eastAsia="黑体" w:cs="Times New Roman"/>
          <w:kern w:val="0"/>
          <w:sz w:val="52"/>
          <w:szCs w:val="52"/>
          <w:lang w:val="en-US" w:eastAsia="zh-CN"/>
        </w:rPr>
        <w:t xml:space="preserve">   </w:t>
      </w:r>
      <w:r>
        <w:rPr>
          <w:rFonts w:hint="default" w:ascii="Times New Roman" w:hAnsi="Times New Roman" w:eastAsia="黑体" w:cs="Times New Roman"/>
          <w:kern w:val="0"/>
          <w:sz w:val="52"/>
          <w:szCs w:val="52"/>
          <w:lang w:eastAsia="zh-CN"/>
        </w:rPr>
        <w:t>信访局</w:t>
      </w:r>
    </w:p>
    <w:p>
      <w:pPr>
        <w:jc w:val="center"/>
        <w:rPr>
          <w:rFonts w:hint="default" w:ascii="Times New Roman" w:hAnsi="Times New Roman" w:eastAsia="黑体" w:cs="Times New Roman"/>
          <w:kern w:val="0"/>
          <w:sz w:val="52"/>
          <w:szCs w:val="52"/>
        </w:rPr>
      </w:pPr>
      <w:r>
        <w:rPr>
          <w:rFonts w:hint="default" w:ascii="Times New Roman" w:hAnsi="Times New Roman" w:eastAsia="黑体" w:cs="Times New Roman"/>
          <w:kern w:val="0"/>
          <w:sz w:val="52"/>
          <w:szCs w:val="52"/>
        </w:rPr>
        <w:t>2020年度部门决算</w:t>
      </w: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84"/>
          <w:szCs w:val="84"/>
        </w:rPr>
      </w:pPr>
    </w:p>
    <w:p>
      <w:pPr>
        <w:rPr>
          <w:rFonts w:hint="default" w:ascii="Times New Roman" w:hAnsi="Times New Roman" w:eastAsia="ArialUnicodeMS" w:cs="Times New Roman"/>
          <w:kern w:val="0"/>
          <w:sz w:val="48"/>
          <w:szCs w:val="48"/>
        </w:rPr>
      </w:pPr>
    </w:p>
    <w:p>
      <w:pPr>
        <w:jc w:val="center"/>
        <w:rPr>
          <w:rFonts w:hint="default" w:ascii="Times New Roman" w:hAnsi="Times New Roman" w:eastAsia="黑体" w:cs="Times New Roman"/>
          <w:kern w:val="0"/>
          <w:sz w:val="44"/>
          <w:szCs w:val="44"/>
        </w:rPr>
      </w:pPr>
    </w:p>
    <w:p>
      <w:pPr>
        <w:ind w:firstLine="646"/>
        <w:jc w:val="center"/>
        <w:rPr>
          <w:rFonts w:hint="default" w:ascii="Times New Roman" w:hAnsi="Times New Roman" w:eastAsia="方正小标宋简体" w:cs="Times New Roman"/>
          <w:b/>
          <w:sz w:val="44"/>
          <w:szCs w:val="44"/>
        </w:rPr>
      </w:pPr>
      <w:r>
        <w:rPr>
          <w:rFonts w:hint="default" w:ascii="Times New Roman" w:hAnsi="Times New Roman" w:eastAsia="方正小标宋简体" w:cs="Times New Roman"/>
          <w:b/>
          <w:sz w:val="44"/>
          <w:szCs w:val="44"/>
        </w:rPr>
        <w:t>目    录</w:t>
      </w:r>
    </w:p>
    <w:p>
      <w:pPr>
        <w:ind w:firstLine="645"/>
        <w:rPr>
          <w:rFonts w:hint="default" w:ascii="Times New Roman" w:hAnsi="Times New Roman" w:eastAsia="仿宋_GB2312" w:cs="Times New Roman"/>
          <w:b/>
          <w:sz w:val="32"/>
          <w:szCs w:val="32"/>
        </w:rPr>
      </w:pP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第一部分：</w:t>
      </w:r>
      <w:r>
        <w:rPr>
          <w:rFonts w:hint="default" w:ascii="Times New Roman" w:hAnsi="Times New Roman" w:eastAsia="仿宋_GB2312" w:cs="Times New Roman"/>
          <w:b/>
          <w:bCs/>
          <w:color w:val="000000"/>
          <w:sz w:val="32"/>
          <w:szCs w:val="32"/>
          <w:u w:val="none"/>
          <w:lang w:eastAsia="zh-CN"/>
        </w:rPr>
        <w:t>柳州市信访局</w:t>
      </w:r>
      <w:r>
        <w:rPr>
          <w:rFonts w:hint="default" w:ascii="Times New Roman" w:hAnsi="Times New Roman" w:eastAsia="仿宋_GB2312" w:cs="Times New Roman"/>
          <w:b/>
          <w:sz w:val="32"/>
          <w:szCs w:val="32"/>
        </w:rPr>
        <w:t>概况</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一、主要职能</w:t>
      </w:r>
    </w:p>
    <w:p>
      <w:pPr>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二、部门决算单位构成</w:t>
      </w:r>
    </w:p>
    <w:p>
      <w:pPr>
        <w:ind w:firstLine="645"/>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第二部分：</w:t>
      </w:r>
      <w:r>
        <w:rPr>
          <w:rFonts w:hint="default" w:ascii="Times New Roman" w:hAnsi="Times New Roman" w:eastAsia="仿宋_GB2312" w:cs="Times New Roman"/>
          <w:b/>
          <w:bCs/>
          <w:color w:val="000000"/>
          <w:sz w:val="32"/>
          <w:szCs w:val="32"/>
          <w:u w:val="none"/>
          <w:lang w:eastAsia="zh-CN"/>
        </w:rPr>
        <w:t>柳州市信访局</w:t>
      </w:r>
      <w:r>
        <w:rPr>
          <w:rFonts w:hint="default" w:ascii="Times New Roman" w:hAnsi="Times New Roman" w:eastAsia="仿宋_GB2312" w:cs="Times New Roman"/>
          <w:b/>
          <w:sz w:val="32"/>
          <w:szCs w:val="32"/>
        </w:rPr>
        <w:t>2020年部门决算报表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表一：收入支出决算总表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表二：收入决算表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表三：支出决算表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表四：财政拨款收入支出决算总表</w:t>
      </w:r>
    </w:p>
    <w:p>
      <w:pPr>
        <w:ind w:left="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表五：一般公共预算财政拨款支出决算表</w:t>
      </w:r>
    </w:p>
    <w:p>
      <w:pPr>
        <w:ind w:left="64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表六：一般公共预算财政拨款基本支出决算表</w:t>
      </w:r>
    </w:p>
    <w:p>
      <w:pPr>
        <w:ind w:left="645"/>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32"/>
          <w:szCs w:val="32"/>
          <w:highlight w:val="none"/>
        </w:rPr>
        <w:t>表七：</w:t>
      </w:r>
      <w:r>
        <w:rPr>
          <w:rFonts w:hint="default" w:ascii="Times New Roman" w:hAnsi="Times New Roman" w:eastAsia="仿宋_GB2312" w:cs="Times New Roman"/>
          <w:sz w:val="28"/>
          <w:szCs w:val="28"/>
          <w:highlight w:val="none"/>
        </w:rPr>
        <w:t>一般公共预算财政拨款安排的“三公”经费支出决算表</w:t>
      </w:r>
    </w:p>
    <w:p>
      <w:pPr>
        <w:ind w:left="645"/>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表八：政府性基金预算财政拨款收入支出决算表</w:t>
      </w:r>
    </w:p>
    <w:p>
      <w:pPr>
        <w:ind w:left="645"/>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表九：国有资本经营预算财政拨款支出决算表</w:t>
      </w:r>
    </w:p>
    <w:p>
      <w:pPr>
        <w:ind w:firstLine="645"/>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第三部分：</w:t>
      </w:r>
      <w:r>
        <w:rPr>
          <w:rFonts w:hint="default" w:ascii="Times New Roman" w:hAnsi="Times New Roman" w:eastAsia="仿宋_GB2312" w:cs="Times New Roman"/>
          <w:b/>
          <w:bCs/>
          <w:color w:val="000000"/>
          <w:sz w:val="32"/>
          <w:szCs w:val="32"/>
          <w:highlight w:val="none"/>
          <w:u w:val="none"/>
          <w:lang w:eastAsia="zh-CN"/>
        </w:rPr>
        <w:t>柳州市信访局</w:t>
      </w:r>
      <w:r>
        <w:rPr>
          <w:rFonts w:hint="default" w:ascii="Times New Roman" w:hAnsi="Times New Roman" w:eastAsia="仿宋_GB2312" w:cs="Times New Roman"/>
          <w:b/>
          <w:sz w:val="32"/>
          <w:szCs w:val="32"/>
          <w:highlight w:val="none"/>
        </w:rPr>
        <w:t>2020年度部门决算情况说明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一、2020 年度收入支出决算总体情况。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二、2020 年度收入决算情况。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三、2020 年度支出决算情况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四、2020年度财政拨款收入支出决算情况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五、2020 年度一般公共预算财政拨款支出决算情况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六、2020 年度一般公共预算财政拨款基本支出决算情况</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七、2020 年度一般公共预算财政拨款“三公”经费支出决算情况</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kern w:val="0"/>
          <w:sz w:val="32"/>
          <w:szCs w:val="32"/>
          <w:highlight w:val="none"/>
        </w:rPr>
        <w:t>八、2020</w:t>
      </w:r>
      <w:r>
        <w:rPr>
          <w:rFonts w:hint="default" w:ascii="Times New Roman" w:hAnsi="Times New Roman" w:eastAsia="仿宋_GB2312" w:cs="Times New Roman"/>
          <w:bCs/>
          <w:kern w:val="0"/>
          <w:sz w:val="32"/>
          <w:szCs w:val="32"/>
          <w:highlight w:val="none"/>
        </w:rPr>
        <w:t xml:space="preserve"> 年度政府性基金预算财政拨款收入支出决算情况</w:t>
      </w:r>
    </w:p>
    <w:p>
      <w:pPr>
        <w:ind w:left="645"/>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rPr>
        <w:t>九、</w:t>
      </w:r>
      <w:r>
        <w:rPr>
          <w:rFonts w:hint="default" w:ascii="Times New Roman" w:hAnsi="Times New Roman" w:eastAsia="仿宋_GB2312" w:cs="Times New Roman"/>
          <w:sz w:val="32"/>
          <w:szCs w:val="32"/>
          <w:highlight w:val="none"/>
          <w:lang w:eastAsia="zh-CN"/>
        </w:rPr>
        <w:t>国有资本经营预算财政拨款支出决算情况</w:t>
      </w:r>
    </w:p>
    <w:p>
      <w:pPr>
        <w:autoSpaceDE w:val="0"/>
        <w:autoSpaceDN w:val="0"/>
        <w:adjustRightInd w:val="0"/>
        <w:ind w:firstLine="640" w:firstLineChars="200"/>
        <w:jc w:val="left"/>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highlight w:val="none"/>
          <w:lang w:eastAsia="zh-CN"/>
        </w:rPr>
        <w:t>十、</w:t>
      </w:r>
      <w:r>
        <w:rPr>
          <w:rFonts w:hint="default" w:ascii="Times New Roman" w:hAnsi="Times New Roman" w:eastAsia="仿宋_GB2312" w:cs="Times New Roman"/>
          <w:kern w:val="0"/>
          <w:sz w:val="32"/>
          <w:szCs w:val="32"/>
          <w:highlight w:val="none"/>
        </w:rPr>
        <w:t>2020</w:t>
      </w:r>
      <w:r>
        <w:rPr>
          <w:rFonts w:hint="default" w:ascii="Times New Roman" w:hAnsi="Times New Roman" w:eastAsia="仿宋_GB2312" w:cs="Times New Roman"/>
          <w:bCs/>
          <w:kern w:val="0"/>
          <w:sz w:val="32"/>
          <w:szCs w:val="32"/>
          <w:highlight w:val="none"/>
        </w:rPr>
        <w:t xml:space="preserve"> 年度预算绩效情况说明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Cs/>
          <w:kern w:val="0"/>
          <w:sz w:val="32"/>
          <w:szCs w:val="32"/>
          <w:highlight w:val="none"/>
        </w:rPr>
        <w:t>十</w:t>
      </w:r>
      <w:r>
        <w:rPr>
          <w:rFonts w:hint="default" w:ascii="Times New Roman" w:hAnsi="Times New Roman" w:eastAsia="仿宋_GB2312" w:cs="Times New Roman"/>
          <w:bCs/>
          <w:kern w:val="0"/>
          <w:sz w:val="32"/>
          <w:szCs w:val="32"/>
          <w:highlight w:val="none"/>
          <w:lang w:eastAsia="zh-CN"/>
        </w:rPr>
        <w:t>一</w:t>
      </w:r>
      <w:r>
        <w:rPr>
          <w:rFonts w:hint="default" w:ascii="Times New Roman" w:hAnsi="Times New Roman" w:eastAsia="仿宋_GB2312" w:cs="Times New Roman"/>
          <w:bCs/>
          <w:kern w:val="0"/>
          <w:sz w:val="32"/>
          <w:szCs w:val="32"/>
          <w:highlight w:val="none"/>
        </w:rPr>
        <w:t>、其他重要事项的情况说明</w:t>
      </w:r>
    </w:p>
    <w:p>
      <w:pPr>
        <w:ind w:firstLine="645"/>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第四部分：名词解释</w:t>
      </w:r>
    </w:p>
    <w:p>
      <w:pPr>
        <w:spacing w:line="720" w:lineRule="auto"/>
        <w:ind w:firstLine="646"/>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Cs/>
          <w:kern w:val="0"/>
          <w:sz w:val="32"/>
          <w:szCs w:val="32"/>
          <w:highlight w:val="none"/>
        </w:rPr>
        <w:br w:type="page"/>
      </w:r>
      <w:r>
        <w:rPr>
          <w:rFonts w:hint="default" w:ascii="Times New Roman" w:hAnsi="Times New Roman" w:eastAsia="仿宋_GB2312" w:cs="Times New Roman"/>
          <w:b/>
          <w:sz w:val="32"/>
          <w:szCs w:val="32"/>
          <w:highlight w:val="none"/>
        </w:rPr>
        <w:t>第一部分：</w:t>
      </w:r>
      <w:r>
        <w:rPr>
          <w:rFonts w:hint="default" w:ascii="Times New Roman" w:hAnsi="Times New Roman" w:eastAsia="仿宋_GB2312" w:cs="Times New Roman"/>
          <w:b/>
          <w:sz w:val="32"/>
          <w:szCs w:val="32"/>
          <w:highlight w:val="none"/>
          <w:lang w:eastAsia="zh-CN"/>
        </w:rPr>
        <w:t>市信访局</w:t>
      </w:r>
      <w:r>
        <w:rPr>
          <w:rFonts w:hint="default" w:ascii="Times New Roman" w:hAnsi="Times New Roman" w:eastAsia="仿宋_GB2312" w:cs="Times New Roman"/>
          <w:b/>
          <w:sz w:val="32"/>
          <w:szCs w:val="32"/>
          <w:highlight w:val="none"/>
        </w:rPr>
        <w:t>概况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rPr>
        <w:t>一、主要职能</w:t>
      </w:r>
      <w:r>
        <w:rPr>
          <w:rFonts w:hint="default" w:ascii="Times New Roman" w:hAnsi="Times New Roman" w:eastAsia="仿宋_GB2312" w:cs="Times New Roman"/>
          <w:color w:val="000000"/>
          <w:kern w:val="0"/>
          <w:sz w:val="31"/>
          <w:szCs w:val="31"/>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1、负责处理群众向市委、市政府及领导同志的来信来电及来访反映的信访事项。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2、负责收集群众来信来电来访中提出的重要建议、意见和问题，向市委、市政府提供社情民意，综合研判，开展调查研究，提出完善有关政策、法律法规和解决信访问题的意见和建议。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 xml:space="preserve">3、负责督办重要信访案件，承办上级部门向市委、市政府转送、交办和市委、市政府领导同志批示交办的重要信访事项，负责向县区和市直部门交办、转办、移送信访事项。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 xml:space="preserve">4、负责办理群众向市政府提出信访事项复查复核的相关工作。指导复杂疑难信访事项的听证评议工作。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 xml:space="preserve">5、协调、检查、指导全市信访工作，组织信访干部教育培训工作。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eastAsia="仿宋_GB2312" w:cs="Times New Roman"/>
          <w:color w:val="000000"/>
          <w:kern w:val="0"/>
          <w:sz w:val="31"/>
          <w:szCs w:val="31"/>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6、负责协调全市信访工作的宣传和信息发布。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1240" w:firstLineChars="400"/>
        <w:jc w:val="left"/>
        <w:textAlignment w:val="auto"/>
        <w:rPr>
          <w:rFonts w:hint="default" w:ascii="Times New Roman" w:hAnsi="Times New Roman" w:cs="Times New Roman"/>
          <w:highlight w:val="none"/>
        </w:rPr>
      </w:pPr>
      <w:r>
        <w:rPr>
          <w:rFonts w:hint="default" w:ascii="Times New Roman" w:hAnsi="Times New Roman" w:eastAsia="仿宋_GB2312" w:cs="Times New Roman"/>
          <w:color w:val="000000"/>
          <w:kern w:val="0"/>
          <w:sz w:val="31"/>
          <w:szCs w:val="31"/>
          <w:highlight w:val="none"/>
          <w:lang w:val="en-US" w:eastAsia="zh-CN" w:bidi="ar"/>
        </w:rPr>
        <w:t xml:space="preserve">7、承办市委、市政府交办的其他事项。 </w:t>
      </w:r>
    </w:p>
    <w:p>
      <w:pPr>
        <w:keepNext w:val="0"/>
        <w:keepLines w:val="0"/>
        <w:pageBreakBefore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二、部门决算单位构成</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1、中共柳州市委员会柳州市人民政府信访局</w:t>
      </w:r>
    </w:p>
    <w:p>
      <w:pPr>
        <w:keepNext w:val="0"/>
        <w:keepLines w:val="0"/>
        <w:pageBreakBefore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cs="Times New Roman"/>
          <w:highlight w:val="none"/>
        </w:rPr>
      </w:pPr>
      <w:r>
        <w:rPr>
          <w:rFonts w:hint="default" w:ascii="Times New Roman" w:hAnsi="Times New Roman" w:eastAsia="仿宋_GB2312" w:cs="Times New Roman"/>
          <w:sz w:val="32"/>
          <w:szCs w:val="32"/>
          <w:highlight w:val="none"/>
          <w:lang w:val="en-US" w:eastAsia="zh-CN"/>
        </w:rPr>
        <w:t>2、柳州市信访信息中心</w:t>
      </w:r>
    </w:p>
    <w:p>
      <w:pPr>
        <w:spacing w:line="720" w:lineRule="auto"/>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第二部分：</w:t>
      </w:r>
      <w:r>
        <w:rPr>
          <w:rFonts w:hint="default" w:ascii="Times New Roman" w:hAnsi="Times New Roman" w:eastAsia="仿宋_GB2312" w:cs="Times New Roman"/>
          <w:b/>
          <w:bCs/>
          <w:color w:val="000000"/>
          <w:sz w:val="32"/>
          <w:szCs w:val="32"/>
          <w:highlight w:val="none"/>
          <w:u w:val="none"/>
          <w:lang w:eastAsia="zh-CN"/>
        </w:rPr>
        <w:t>柳州市信访局</w:t>
      </w:r>
      <w:r>
        <w:rPr>
          <w:rFonts w:hint="default" w:ascii="Times New Roman" w:hAnsi="Times New Roman" w:eastAsia="仿宋_GB2312" w:cs="Times New Roman"/>
          <w:b/>
          <w:sz w:val="32"/>
          <w:szCs w:val="32"/>
          <w:highlight w:val="none"/>
        </w:rPr>
        <w:t>2020年部门决算报表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收入决算表》、《支出决算表》、《一般公共预算财政拨款支出决算表》和《政府性基金预算财政拨款收入支出决算表》应当细化公开到支出功能分类项级科目，《一般公共预算财政拨款基本支出决算表》应当细化公开到经济分类款级科目。</w:t>
      </w:r>
    </w:p>
    <w:tbl>
      <w:tblPr>
        <w:tblStyle w:val="5"/>
        <w:tblW w:w="8940" w:type="dxa"/>
        <w:jc w:val="center"/>
        <w:tblLayout w:type="fixed"/>
        <w:tblCellMar>
          <w:top w:w="0" w:type="dxa"/>
          <w:left w:w="108" w:type="dxa"/>
          <w:bottom w:w="0" w:type="dxa"/>
          <w:right w:w="108" w:type="dxa"/>
        </w:tblCellMar>
      </w:tblPr>
      <w:tblGrid>
        <w:gridCol w:w="3527"/>
        <w:gridCol w:w="920"/>
        <w:gridCol w:w="3289"/>
        <w:gridCol w:w="919"/>
        <w:gridCol w:w="285"/>
      </w:tblGrid>
      <w:tr>
        <w:tblPrEx>
          <w:tblCellMar>
            <w:top w:w="0" w:type="dxa"/>
            <w:left w:w="108" w:type="dxa"/>
            <w:bottom w:w="0" w:type="dxa"/>
            <w:right w:w="108" w:type="dxa"/>
          </w:tblCellMar>
        </w:tblPrEx>
        <w:trPr>
          <w:gridAfter w:val="1"/>
          <w:wAfter w:w="285" w:type="dxa"/>
          <w:trHeight w:val="570" w:hRule="atLeast"/>
          <w:jc w:val="center"/>
        </w:trPr>
        <w:tc>
          <w:tcPr>
            <w:tcW w:w="8655" w:type="dxa"/>
            <w:gridSpan w:val="4"/>
            <w:tcBorders>
              <w:top w:val="nil"/>
              <w:left w:val="nil"/>
              <w:bottom w:val="nil"/>
              <w:right w:val="nil"/>
            </w:tcBorders>
            <w:vAlign w:val="bottom"/>
          </w:tcPr>
          <w:p>
            <w:pPr>
              <w:widowControl/>
              <w:jc w:val="center"/>
              <w:rPr>
                <w:rFonts w:hint="default" w:ascii="Times New Roman" w:hAnsi="Times New Roman" w:eastAsia="方正小标宋简体" w:cs="Times New Roman"/>
                <w:kern w:val="0"/>
                <w:sz w:val="36"/>
                <w:szCs w:val="36"/>
                <w:highlight w:val="none"/>
              </w:rPr>
            </w:pPr>
            <w:r>
              <w:rPr>
                <w:rFonts w:hint="default" w:ascii="Times New Roman" w:hAnsi="Times New Roman" w:eastAsia="方正小标宋简体" w:cs="Times New Roman"/>
                <w:kern w:val="0"/>
                <w:sz w:val="36"/>
                <w:szCs w:val="36"/>
                <w:highlight w:val="none"/>
              </w:rPr>
              <w:t>表一：收入支出决算总表</w:t>
            </w:r>
          </w:p>
          <w:p>
            <w:pPr>
              <w:widowControl/>
              <w:jc w:val="right"/>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单位：万元</w:t>
            </w:r>
          </w:p>
        </w:tc>
      </w:tr>
      <w:tr>
        <w:tblPrEx>
          <w:tblCellMar>
            <w:top w:w="0" w:type="dxa"/>
            <w:left w:w="108" w:type="dxa"/>
            <w:bottom w:w="0" w:type="dxa"/>
            <w:right w:w="108" w:type="dxa"/>
          </w:tblCellMar>
        </w:tblPrEx>
        <w:trPr>
          <w:trHeight w:val="270" w:hRule="atLeast"/>
          <w:jc w:val="center"/>
        </w:trPr>
        <w:tc>
          <w:tcPr>
            <w:tcW w:w="4447" w:type="dxa"/>
            <w:gridSpan w:val="2"/>
            <w:tcBorders>
              <w:top w:val="single" w:color="auto" w:sz="4" w:space="0"/>
              <w:left w:val="single" w:color="auto" w:sz="4" w:space="0"/>
              <w:bottom w:val="single" w:color="auto" w:sz="4" w:space="0"/>
              <w:right w:val="single" w:color="auto" w:sz="4" w:space="0"/>
            </w:tcBorders>
            <w:vAlign w:val="center"/>
          </w:tcPr>
          <w:p>
            <w:pPr>
              <w:widowControl/>
              <w:ind w:firstLine="400"/>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收    入</w:t>
            </w:r>
          </w:p>
        </w:tc>
        <w:tc>
          <w:tcPr>
            <w:tcW w:w="4493"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支    出</w:t>
            </w:r>
          </w:p>
        </w:tc>
      </w:tr>
      <w:tr>
        <w:tblPrEx>
          <w:tblCellMar>
            <w:top w:w="0" w:type="dxa"/>
            <w:left w:w="108" w:type="dxa"/>
            <w:bottom w:w="0" w:type="dxa"/>
            <w:right w:w="108" w:type="dxa"/>
          </w:tblCellMar>
        </w:tblPrEx>
        <w:trPr>
          <w:trHeight w:val="270"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项目</w:t>
            </w: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决算数</w:t>
            </w:r>
          </w:p>
        </w:tc>
        <w:tc>
          <w:tcPr>
            <w:tcW w:w="3289"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项目</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决算数</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rPr>
              <w:t>一、</w:t>
            </w:r>
            <w:r>
              <w:rPr>
                <w:rFonts w:hint="default" w:ascii="Times New Roman" w:hAnsi="Times New Roman" w:cs="Times New Roman"/>
                <w:color w:val="000000"/>
                <w:kern w:val="0"/>
                <w:sz w:val="22"/>
                <w:szCs w:val="22"/>
                <w:highlight w:val="none"/>
                <w:lang w:eastAsia="zh-CN"/>
              </w:rPr>
              <w:t>一般公共预算财政拨款收入</w:t>
            </w: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594.3</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一、一般公共服务支出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437.63</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rPr>
              <w:t>二、</w:t>
            </w:r>
            <w:r>
              <w:rPr>
                <w:rFonts w:hint="default" w:ascii="Times New Roman" w:hAnsi="Times New Roman" w:cs="Times New Roman"/>
                <w:color w:val="000000"/>
                <w:kern w:val="0"/>
                <w:sz w:val="22"/>
                <w:szCs w:val="22"/>
                <w:highlight w:val="none"/>
                <w:lang w:eastAsia="zh-CN"/>
              </w:rPr>
              <w:t>政府性基金预算财政拨款收入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二、外交支出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三</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上级补助</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三、国防支出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四</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事业</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四、公共安全支出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五</w:t>
            </w:r>
            <w:r>
              <w:rPr>
                <w:rFonts w:hint="default" w:ascii="Times New Roman" w:hAnsi="Times New Roman" w:cs="Times New Roman"/>
                <w:color w:val="000000"/>
                <w:kern w:val="0"/>
                <w:sz w:val="22"/>
                <w:szCs w:val="22"/>
                <w:highlight w:val="none"/>
              </w:rPr>
              <w:t>、</w:t>
            </w:r>
            <w:r>
              <w:rPr>
                <w:rFonts w:hint="default" w:ascii="Times New Roman" w:hAnsi="Times New Roman" w:cs="Times New Roman"/>
                <w:color w:val="000000"/>
                <w:kern w:val="0"/>
                <w:sz w:val="22"/>
                <w:szCs w:val="22"/>
                <w:highlight w:val="none"/>
                <w:lang w:eastAsia="zh-CN"/>
              </w:rPr>
              <w:t>经营</w:t>
            </w:r>
            <w:r>
              <w:rPr>
                <w:rFonts w:hint="default" w:ascii="Times New Roman" w:hAnsi="Times New Roman" w:cs="Times New Roman"/>
                <w:color w:val="000000"/>
                <w:kern w:val="0"/>
                <w:sz w:val="22"/>
                <w:szCs w:val="22"/>
                <w:highlight w:val="none"/>
              </w:rPr>
              <w:t>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五、教育支出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r>
              <w:rPr>
                <w:rFonts w:hint="default" w:ascii="Times New Roman" w:hAnsi="Times New Roman" w:cs="Times New Roman"/>
                <w:color w:val="000000"/>
                <w:kern w:val="0"/>
                <w:sz w:val="22"/>
                <w:szCs w:val="22"/>
                <w:highlight w:val="none"/>
                <w:lang w:eastAsia="zh-CN"/>
              </w:rPr>
              <w:t>六、附属单位上缴收入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六、科学技术支出</w:t>
            </w:r>
          </w:p>
        </w:tc>
        <w:tc>
          <w:tcPr>
            <w:tcW w:w="1204" w:type="dxa"/>
            <w:gridSpan w:val="2"/>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lang w:eastAsia="zh-CN"/>
              </w:rPr>
              <w:t>七</w:t>
            </w:r>
            <w:r>
              <w:rPr>
                <w:rFonts w:hint="default" w:ascii="Times New Roman" w:hAnsi="Times New Roman" w:cs="Times New Roman"/>
                <w:color w:val="000000"/>
                <w:kern w:val="0"/>
                <w:sz w:val="22"/>
                <w:szCs w:val="22"/>
                <w:highlight w:val="none"/>
              </w:rPr>
              <w:t>、其他收入</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七、文化旅游体育与传媒支出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八、社会保障和就业支出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53.64</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九、卫生健康支出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33.42</w:t>
            </w: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十、节能环保支出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十一、城乡社区支出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十二、农林水支出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十三、交通运输支出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十四、资源勘探信息等支出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eastAsia="zh-CN"/>
              </w:rPr>
            </w:pPr>
          </w:p>
        </w:tc>
        <w:tc>
          <w:tcPr>
            <w:tcW w:w="920" w:type="dxa"/>
            <w:tcBorders>
              <w:top w:val="nil"/>
              <w:left w:val="nil"/>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十五、商业服务业等支出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十六、金融支出</w:t>
            </w:r>
          </w:p>
        </w:tc>
        <w:tc>
          <w:tcPr>
            <w:tcW w:w="1204" w:type="dxa"/>
            <w:gridSpan w:val="2"/>
            <w:tcBorders>
              <w:top w:val="nil"/>
              <w:left w:val="nil"/>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十七、援助其他地区支出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十八、自然资源海洋气象等支出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十九、住房保障支出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lang w:val="en-US" w:eastAsia="zh-CN" w:bidi="ar-SA"/>
              </w:rPr>
              <w:t>28.02</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二十、粮油物资储备支出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二十一、灾害防治及应急管理支出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二十二、其他支出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eastAsia="宋体" w:cs="Times New Roman"/>
                <w:i w:val="0"/>
                <w:color w:val="000000"/>
                <w:kern w:val="0"/>
                <w:sz w:val="22"/>
                <w:szCs w:val="22"/>
                <w:highlight w:val="none"/>
                <w:u w:val="none"/>
                <w:lang w:val="en-US" w:eastAsia="zh-CN" w:bidi="ar"/>
              </w:rPr>
              <w:t>二十三、债务还本支出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b/>
                <w:color w:val="000000"/>
                <w:kern w:val="0"/>
                <w:sz w:val="22"/>
                <w:szCs w:val="22"/>
                <w:highlight w:val="none"/>
                <w:lang w:val="en-US" w:eastAsia="zh-CN" w:bidi="ar-SA"/>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color w:val="000000"/>
                <w:kern w:val="0"/>
                <w:sz w:val="22"/>
                <w:szCs w:val="22"/>
                <w:highlight w:val="none"/>
              </w:rPr>
            </w:pPr>
            <w:r>
              <w:rPr>
                <w:rFonts w:hint="default" w:ascii="Times New Roman" w:hAnsi="Times New Roman" w:eastAsia="宋体" w:cs="Times New Roman"/>
                <w:i w:val="0"/>
                <w:color w:val="000000"/>
                <w:kern w:val="0"/>
                <w:sz w:val="22"/>
                <w:szCs w:val="22"/>
                <w:highlight w:val="none"/>
                <w:u w:val="none"/>
                <w:lang w:val="en-US" w:eastAsia="zh-CN" w:bidi="ar"/>
              </w:rPr>
              <w:t>二十四、债务付息支出</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color w:val="000000"/>
                <w:kern w:val="0"/>
                <w:sz w:val="22"/>
                <w:szCs w:val="22"/>
                <w:highlight w:val="none"/>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b/>
                <w:color w:val="000000"/>
                <w:kern w:val="0"/>
                <w:sz w:val="22"/>
                <w:szCs w:val="22"/>
                <w:highlight w:val="none"/>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本年收入合计</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lang w:val="en-US" w:eastAsia="zh-CN"/>
              </w:rPr>
              <w:t>594.3</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本年支出合计</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b/>
                <w:color w:val="000000"/>
                <w:kern w:val="0"/>
                <w:sz w:val="22"/>
                <w:szCs w:val="22"/>
                <w:highlight w:val="none"/>
                <w:lang w:val="en-US" w:eastAsia="zh-CN"/>
              </w:rPr>
              <w:t>552.71</w:t>
            </w:r>
            <w:r>
              <w:rPr>
                <w:rFonts w:hint="default" w:ascii="Times New Roman" w:hAnsi="Times New Roman" w:eastAsia="宋体" w:cs="Times New Roman"/>
                <w:i w:val="0"/>
                <w:color w:val="000000"/>
                <w:kern w:val="0"/>
                <w:sz w:val="22"/>
                <w:szCs w:val="22"/>
                <w:highlight w:val="none"/>
                <w:u w:val="none"/>
                <w:lang w:val="en-US" w:eastAsia="zh-CN" w:bidi="ar"/>
              </w:rPr>
              <w:t xml:space="preserve"> </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　用事业基金弥补收支差额</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结余分配</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eastAsia="宋体" w:cs="Times New Roman"/>
                <w:i w:val="0"/>
                <w:color w:val="000000"/>
                <w:kern w:val="0"/>
                <w:sz w:val="22"/>
                <w:szCs w:val="22"/>
                <w:highlight w:val="none"/>
                <w:u w:val="none"/>
                <w:lang w:val="en-US" w:eastAsia="zh-CN" w:bidi="ar"/>
              </w:rPr>
              <w:t xml:space="preserve">0.00 </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　年</w:t>
            </w:r>
            <w:r>
              <w:rPr>
                <w:rFonts w:hint="default" w:ascii="Times New Roman" w:hAnsi="Times New Roman" w:cs="Times New Roman"/>
                <w:color w:val="000000"/>
                <w:kern w:val="0"/>
                <w:sz w:val="22"/>
                <w:szCs w:val="22"/>
                <w:highlight w:val="none"/>
                <w:lang w:eastAsia="zh-CN"/>
              </w:rPr>
              <w:t>初</w:t>
            </w:r>
            <w:r>
              <w:rPr>
                <w:rFonts w:hint="default" w:ascii="Times New Roman" w:hAnsi="Times New Roman" w:cs="Times New Roman"/>
                <w:color w:val="000000"/>
                <w:kern w:val="0"/>
                <w:sz w:val="22"/>
                <w:szCs w:val="22"/>
                <w:highlight w:val="none"/>
              </w:rPr>
              <w:t>结转</w:t>
            </w:r>
            <w:r>
              <w:rPr>
                <w:rFonts w:hint="default" w:ascii="Times New Roman" w:hAnsi="Times New Roman" w:cs="Times New Roman"/>
                <w:color w:val="000000"/>
                <w:kern w:val="0"/>
                <w:sz w:val="22"/>
                <w:szCs w:val="22"/>
                <w:highlight w:val="none"/>
                <w:lang w:eastAsia="zh-CN"/>
              </w:rPr>
              <w:t>和结余</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lang w:val="en-US" w:eastAsia="zh-CN"/>
              </w:rPr>
              <w:t>8.55</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color w:val="000000"/>
                <w:kern w:val="0"/>
                <w:sz w:val="22"/>
                <w:szCs w:val="22"/>
                <w:highlight w:val="none"/>
                <w:lang w:val="en-US" w:eastAsia="zh-CN" w:bidi="ar-SA"/>
              </w:rPr>
            </w:pPr>
            <w:r>
              <w:rPr>
                <w:rFonts w:hint="default" w:ascii="Times New Roman" w:hAnsi="Times New Roman" w:cs="Times New Roman"/>
                <w:color w:val="000000"/>
                <w:kern w:val="0"/>
                <w:sz w:val="22"/>
                <w:szCs w:val="22"/>
                <w:highlight w:val="none"/>
              </w:rPr>
              <w:t>年末结转与结余</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r>
              <w:rPr>
                <w:rFonts w:hint="default" w:ascii="Times New Roman" w:hAnsi="Times New Roman" w:cs="Times New Roman"/>
                <w:i w:val="0"/>
                <w:color w:val="000000"/>
                <w:kern w:val="0"/>
                <w:sz w:val="22"/>
                <w:szCs w:val="22"/>
                <w:highlight w:val="none"/>
                <w:u w:val="none"/>
                <w:lang w:val="en-US" w:eastAsia="zh-CN" w:bidi="ar"/>
              </w:rPr>
              <w:t>50.14</w:t>
            </w:r>
            <w:r>
              <w:rPr>
                <w:rFonts w:hint="default" w:ascii="Times New Roman" w:hAnsi="Times New Roman" w:eastAsia="宋体" w:cs="Times New Roman"/>
                <w:i w:val="0"/>
                <w:color w:val="000000"/>
                <w:kern w:val="0"/>
                <w:sz w:val="22"/>
                <w:szCs w:val="22"/>
                <w:highlight w:val="none"/>
                <w:u w:val="none"/>
                <w:lang w:val="en-US" w:eastAsia="zh-CN" w:bidi="ar"/>
              </w:rPr>
              <w:t xml:space="preserve"> </w:t>
            </w: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tc>
      </w:tr>
      <w:tr>
        <w:tblPrEx>
          <w:tblCellMar>
            <w:top w:w="0" w:type="dxa"/>
            <w:left w:w="108" w:type="dxa"/>
            <w:bottom w:w="0" w:type="dxa"/>
            <w:right w:w="108" w:type="dxa"/>
          </w:tblCellMar>
        </w:tblPrEx>
        <w:trPr>
          <w:trHeight w:val="283" w:hRule="atLeast"/>
          <w:jc w:val="center"/>
        </w:trPr>
        <w:tc>
          <w:tcPr>
            <w:tcW w:w="3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收入总计</w:t>
            </w:r>
          </w:p>
        </w:tc>
        <w:tc>
          <w:tcPr>
            <w:tcW w:w="9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highlight w:val="none"/>
                <w:u w:val="none"/>
                <w:lang w:val="en-US" w:eastAsia="zh-CN" w:bidi="ar-SA"/>
              </w:rPr>
            </w:pPr>
            <w:r>
              <w:rPr>
                <w:rFonts w:hint="default" w:ascii="Times New Roman" w:hAnsi="Times New Roman" w:cs="Times New Roman"/>
                <w:b/>
                <w:color w:val="000000"/>
                <w:kern w:val="0"/>
                <w:sz w:val="22"/>
                <w:szCs w:val="22"/>
                <w:highlight w:val="none"/>
                <w:lang w:val="en-US" w:eastAsia="zh-CN"/>
              </w:rPr>
              <w:t>602.82</w:t>
            </w:r>
          </w:p>
        </w:tc>
        <w:tc>
          <w:tcPr>
            <w:tcW w:w="328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color w:val="000000"/>
                <w:kern w:val="0"/>
                <w:sz w:val="22"/>
                <w:szCs w:val="22"/>
                <w:highlight w:val="none"/>
                <w:lang w:val="en-US" w:eastAsia="zh-CN" w:bidi="ar-SA"/>
              </w:rPr>
            </w:pPr>
            <w:r>
              <w:rPr>
                <w:rFonts w:hint="default" w:ascii="Times New Roman" w:hAnsi="Times New Roman" w:cs="Times New Roman"/>
                <w:b/>
                <w:color w:val="000000"/>
                <w:kern w:val="0"/>
                <w:sz w:val="22"/>
                <w:szCs w:val="22"/>
                <w:highlight w:val="none"/>
              </w:rPr>
              <w:t>支出总计</w:t>
            </w:r>
          </w:p>
        </w:tc>
        <w:tc>
          <w:tcPr>
            <w:tcW w:w="120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cs="Times New Roman"/>
                <w:b/>
                <w:color w:val="000000"/>
                <w:kern w:val="0"/>
                <w:sz w:val="22"/>
                <w:szCs w:val="22"/>
                <w:highlight w:val="none"/>
                <w:lang w:val="en-US" w:eastAsia="zh-CN"/>
              </w:rPr>
              <w:t>602.85</w:t>
            </w:r>
            <w:r>
              <w:rPr>
                <w:rFonts w:hint="default" w:ascii="Times New Roman" w:hAnsi="Times New Roman" w:eastAsia="宋体" w:cs="Times New Roman"/>
                <w:i w:val="0"/>
                <w:color w:val="000000"/>
                <w:kern w:val="0"/>
                <w:sz w:val="24"/>
                <w:szCs w:val="24"/>
                <w:highlight w:val="none"/>
                <w:u w:val="none"/>
                <w:lang w:val="en-US" w:eastAsia="zh-CN" w:bidi="ar"/>
              </w:rPr>
              <w:t xml:space="preserve"> </w:t>
            </w:r>
          </w:p>
        </w:tc>
      </w:tr>
    </w:tbl>
    <w:p>
      <w:pPr>
        <w:rPr>
          <w:rFonts w:hint="default" w:ascii="Times New Roman" w:hAnsi="Times New Roman" w:cs="Times New Roman"/>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418" w:bottom="1134" w:left="1588" w:header="851" w:footer="992" w:gutter="0"/>
          <w:pgNumType w:fmt="decimal" w:start="1"/>
          <w:cols w:space="720" w:num="1"/>
          <w:docGrid w:type="lines" w:linePitch="312" w:charSpace="0"/>
        </w:sectPr>
      </w:pPr>
      <w:r>
        <w:rPr>
          <w:rFonts w:hint="default" w:ascii="Times New Roman" w:hAnsi="Times New Roman" w:cs="Times New Roman"/>
          <w:highlight w:val="none"/>
        </w:rPr>
        <w:t>注：本表映部门本年度的总收支和年末结转结余情况。</w:t>
      </w:r>
    </w:p>
    <w:p>
      <w:pPr>
        <w:jc w:val="center"/>
        <w:rPr>
          <w:rFonts w:hint="default" w:ascii="Times New Roman" w:hAnsi="Times New Roman" w:cs="Times New Roman"/>
          <w:highlight w:val="none"/>
        </w:rPr>
      </w:pPr>
      <w:r>
        <w:rPr>
          <w:rFonts w:hint="default" w:ascii="Times New Roman" w:hAnsi="Times New Roman" w:eastAsia="方正小标宋简体" w:cs="Times New Roman"/>
          <w:kern w:val="0"/>
          <w:sz w:val="36"/>
          <w:szCs w:val="36"/>
          <w:highlight w:val="none"/>
        </w:rPr>
        <w:t>表二：收入决算表</w:t>
      </w:r>
    </w:p>
    <w:p>
      <w:pPr>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en-US" w:eastAsia="zh-CN"/>
        </w:rPr>
        <w:t xml:space="preserve">                                                                                                                    </w:t>
      </w:r>
      <w:r>
        <w:rPr>
          <w:rFonts w:hint="default" w:ascii="Times New Roman" w:hAnsi="Times New Roman" w:cs="Times New Roman"/>
          <w:sz w:val="22"/>
          <w:szCs w:val="22"/>
          <w:highlight w:val="none"/>
        </w:rPr>
        <w:t xml:space="preserve">单位：万元                     </w:t>
      </w:r>
    </w:p>
    <w:tbl>
      <w:tblPr>
        <w:tblStyle w:val="5"/>
        <w:tblW w:w="13778" w:type="dxa"/>
        <w:jc w:val="center"/>
        <w:tblLayout w:type="fixed"/>
        <w:tblCellMar>
          <w:top w:w="0" w:type="dxa"/>
          <w:left w:w="108" w:type="dxa"/>
          <w:bottom w:w="0" w:type="dxa"/>
          <w:right w:w="108" w:type="dxa"/>
        </w:tblCellMar>
      </w:tblPr>
      <w:tblGrid>
        <w:gridCol w:w="2317"/>
        <w:gridCol w:w="3934"/>
        <w:gridCol w:w="1520"/>
        <w:gridCol w:w="1493"/>
        <w:gridCol w:w="920"/>
        <w:gridCol w:w="778"/>
        <w:gridCol w:w="694"/>
        <w:gridCol w:w="1320"/>
        <w:gridCol w:w="802"/>
      </w:tblGrid>
      <w:tr>
        <w:tblPrEx>
          <w:tblCellMar>
            <w:top w:w="0" w:type="dxa"/>
            <w:left w:w="108" w:type="dxa"/>
            <w:bottom w:w="0" w:type="dxa"/>
            <w:right w:w="108" w:type="dxa"/>
          </w:tblCellMar>
        </w:tblPrEx>
        <w:trPr>
          <w:trHeight w:val="166" w:hRule="atLeast"/>
          <w:jc w:val="center"/>
        </w:trPr>
        <w:tc>
          <w:tcPr>
            <w:tcW w:w="6251"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Times New Roman" w:hAnsi="Times New Roman" w:cs="Times New Roman"/>
                <w:color w:val="000000"/>
                <w:kern w:val="0"/>
                <w:sz w:val="20"/>
                <w:szCs w:val="20"/>
                <w:highlight w:val="none"/>
              </w:rPr>
            </w:pPr>
            <w:r>
              <w:rPr>
                <w:rFonts w:hint="default" w:ascii="Times New Roman" w:hAnsi="Times New Roman" w:cs="Times New Roman"/>
                <w:kern w:val="0"/>
                <w:sz w:val="20"/>
                <w:szCs w:val="20"/>
                <w:highlight w:val="none"/>
              </w:rPr>
              <w:t>支出功能项目</w:t>
            </w:r>
          </w:p>
        </w:tc>
        <w:tc>
          <w:tcPr>
            <w:tcW w:w="15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本年收入合计</w:t>
            </w:r>
          </w:p>
        </w:tc>
        <w:tc>
          <w:tcPr>
            <w:tcW w:w="149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财政拨款收入</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上级补助收入</w:t>
            </w:r>
          </w:p>
        </w:tc>
        <w:tc>
          <w:tcPr>
            <w:tcW w:w="77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0"/>
                <w:szCs w:val="20"/>
                <w:highlight w:val="none"/>
              </w:rPr>
            </w:pPr>
            <w:r>
              <w:rPr>
                <w:rFonts w:hint="default" w:ascii="Times New Roman" w:hAnsi="Times New Roman" w:cs="Times New Roman"/>
                <w:kern w:val="0"/>
                <w:sz w:val="20"/>
                <w:szCs w:val="20"/>
                <w:highlight w:val="none"/>
              </w:rPr>
              <w:t>事业收入</w:t>
            </w:r>
          </w:p>
        </w:tc>
        <w:tc>
          <w:tcPr>
            <w:tcW w:w="69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0"/>
                <w:szCs w:val="20"/>
                <w:highlight w:val="none"/>
              </w:rPr>
            </w:pPr>
            <w:r>
              <w:rPr>
                <w:rFonts w:hint="default" w:ascii="Times New Roman" w:hAnsi="Times New Roman" w:cs="Times New Roman"/>
                <w:kern w:val="0"/>
                <w:sz w:val="20"/>
                <w:szCs w:val="20"/>
                <w:highlight w:val="none"/>
              </w:rPr>
              <w:t>经营收入</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附属单位上缴收入</w:t>
            </w:r>
          </w:p>
        </w:tc>
        <w:tc>
          <w:tcPr>
            <w:tcW w:w="80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color w:val="000000"/>
                <w:kern w:val="0"/>
                <w:sz w:val="20"/>
                <w:szCs w:val="20"/>
                <w:highlight w:val="none"/>
              </w:rPr>
            </w:pPr>
            <w:r>
              <w:rPr>
                <w:rFonts w:hint="default" w:ascii="Times New Roman" w:hAnsi="Times New Roman" w:cs="Times New Roman"/>
                <w:kern w:val="0"/>
                <w:sz w:val="20"/>
                <w:szCs w:val="20"/>
                <w:highlight w:val="none"/>
              </w:rPr>
              <w:t>其他收入</w:t>
            </w:r>
          </w:p>
        </w:tc>
      </w:tr>
      <w:tr>
        <w:tblPrEx>
          <w:tblCellMar>
            <w:top w:w="0" w:type="dxa"/>
            <w:left w:w="108" w:type="dxa"/>
            <w:bottom w:w="0" w:type="dxa"/>
            <w:right w:w="108" w:type="dxa"/>
          </w:tblCellMar>
        </w:tblPrEx>
        <w:trPr>
          <w:trHeight w:val="238"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cs="Times New Roman"/>
                <w:kern w:val="0"/>
                <w:sz w:val="20"/>
                <w:szCs w:val="20"/>
                <w:highlight w:val="none"/>
              </w:rPr>
            </w:pPr>
            <w:r>
              <w:rPr>
                <w:rFonts w:hint="default" w:ascii="Times New Roman" w:hAnsi="Times New Roman" w:cs="Times New Roman"/>
                <w:kern w:val="0"/>
                <w:sz w:val="20"/>
                <w:szCs w:val="20"/>
                <w:highlight w:val="none"/>
              </w:rPr>
              <w:t>支出功能分类科目编码</w:t>
            </w:r>
          </w:p>
        </w:tc>
        <w:tc>
          <w:tcPr>
            <w:tcW w:w="393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highlight w:val="none"/>
              </w:rPr>
            </w:pPr>
            <w:r>
              <w:rPr>
                <w:rFonts w:hint="default" w:ascii="Times New Roman" w:hAnsi="Times New Roman" w:cs="Times New Roman"/>
                <w:kern w:val="0"/>
                <w:sz w:val="20"/>
                <w:szCs w:val="20"/>
                <w:highlight w:val="none"/>
              </w:rPr>
              <w:t>科目名称</w:t>
            </w:r>
          </w:p>
        </w:tc>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highlight w:val="none"/>
              </w:rPr>
            </w:pPr>
          </w:p>
        </w:tc>
        <w:tc>
          <w:tcPr>
            <w:tcW w:w="14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highlight w:val="none"/>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highlight w:val="none"/>
              </w:rPr>
            </w:pPr>
          </w:p>
        </w:tc>
        <w:tc>
          <w:tcPr>
            <w:tcW w:w="778"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highlight w:val="none"/>
              </w:rPr>
            </w:pPr>
          </w:p>
        </w:tc>
        <w:tc>
          <w:tcPr>
            <w:tcW w:w="69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highlight w:val="none"/>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0"/>
                <w:szCs w:val="20"/>
                <w:highlight w:val="none"/>
              </w:rPr>
            </w:pPr>
          </w:p>
        </w:tc>
        <w:tc>
          <w:tcPr>
            <w:tcW w:w="80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highlight w:val="none"/>
              </w:rPr>
            </w:pPr>
          </w:p>
        </w:tc>
      </w:tr>
      <w:tr>
        <w:tblPrEx>
          <w:tblCellMar>
            <w:top w:w="0" w:type="dxa"/>
            <w:left w:w="108" w:type="dxa"/>
            <w:bottom w:w="0" w:type="dxa"/>
            <w:right w:w="108" w:type="dxa"/>
          </w:tblCellMar>
        </w:tblPrEx>
        <w:trPr>
          <w:trHeight w:val="245" w:hRule="atLeast"/>
          <w:jc w:val="center"/>
        </w:trPr>
        <w:tc>
          <w:tcPr>
            <w:tcW w:w="625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b/>
                <w:bCs/>
                <w:kern w:val="0"/>
                <w:sz w:val="22"/>
                <w:szCs w:val="22"/>
                <w:highlight w:val="none"/>
              </w:rPr>
              <w:t>栏次</w:t>
            </w:r>
          </w:p>
        </w:tc>
        <w:tc>
          <w:tcPr>
            <w:tcW w:w="152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1</w:t>
            </w:r>
          </w:p>
        </w:tc>
        <w:tc>
          <w:tcPr>
            <w:tcW w:w="149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2</w:t>
            </w:r>
          </w:p>
        </w:tc>
        <w:tc>
          <w:tcPr>
            <w:tcW w:w="92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3</w:t>
            </w:r>
          </w:p>
        </w:tc>
        <w:tc>
          <w:tcPr>
            <w:tcW w:w="77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4</w:t>
            </w:r>
          </w:p>
        </w:tc>
        <w:tc>
          <w:tcPr>
            <w:tcW w:w="694" w:type="dxa"/>
            <w:tcBorders>
              <w:top w:val="nil"/>
              <w:left w:val="nil"/>
              <w:bottom w:val="single" w:color="auto" w:sz="4" w:space="0"/>
              <w:right w:val="single" w:color="auto" w:sz="4" w:space="0"/>
            </w:tcBorders>
          </w:tcPr>
          <w:p>
            <w:pPr>
              <w:widowControl/>
              <w:ind w:firstLine="660" w:firstLineChars="300"/>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5</w:t>
            </w:r>
          </w:p>
        </w:tc>
        <w:tc>
          <w:tcPr>
            <w:tcW w:w="1320" w:type="dxa"/>
            <w:tcBorders>
              <w:top w:val="nil"/>
              <w:left w:val="nil"/>
              <w:bottom w:val="single" w:color="auto" w:sz="4" w:space="0"/>
              <w:right w:val="single" w:color="auto" w:sz="4" w:space="0"/>
            </w:tcBorders>
          </w:tcPr>
          <w:p>
            <w:pPr>
              <w:widowControl/>
              <w:ind w:firstLine="660" w:firstLineChars="300"/>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6</w:t>
            </w:r>
          </w:p>
        </w:tc>
        <w:tc>
          <w:tcPr>
            <w:tcW w:w="80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7</w:t>
            </w:r>
          </w:p>
        </w:tc>
      </w:tr>
      <w:tr>
        <w:tblPrEx>
          <w:tblCellMar>
            <w:top w:w="0" w:type="dxa"/>
            <w:left w:w="108" w:type="dxa"/>
            <w:bottom w:w="0" w:type="dxa"/>
            <w:right w:w="108" w:type="dxa"/>
          </w:tblCellMar>
        </w:tblPrEx>
        <w:trPr>
          <w:trHeight w:val="184" w:hRule="atLeast"/>
          <w:jc w:val="center"/>
        </w:trPr>
        <w:tc>
          <w:tcPr>
            <w:tcW w:w="6251"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合计</w:t>
            </w:r>
          </w:p>
        </w:tc>
        <w:tc>
          <w:tcPr>
            <w:tcW w:w="1520" w:type="dxa"/>
            <w:tcBorders>
              <w:top w:val="nil"/>
              <w:left w:val="nil"/>
              <w:bottom w:val="single" w:color="auto" w:sz="4" w:space="0"/>
              <w:right w:val="single" w:color="auto" w:sz="4" w:space="0"/>
            </w:tcBorders>
          </w:tcPr>
          <w:p>
            <w:pPr>
              <w:widowControl/>
              <w:ind w:firstLine="440" w:firstLineChars="200"/>
              <w:jc w:val="both"/>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594.3</w:t>
            </w:r>
          </w:p>
        </w:tc>
        <w:tc>
          <w:tcPr>
            <w:tcW w:w="1493" w:type="dxa"/>
            <w:tcBorders>
              <w:top w:val="nil"/>
              <w:left w:val="nil"/>
              <w:bottom w:val="single" w:color="auto" w:sz="4" w:space="0"/>
              <w:right w:val="single" w:color="auto" w:sz="4" w:space="0"/>
            </w:tcBorders>
          </w:tcPr>
          <w:p>
            <w:pPr>
              <w:widowControl/>
              <w:jc w:val="center"/>
              <w:rPr>
                <w:rFonts w:hint="default" w:ascii="Times New Roman" w:hAnsi="Times New Roman" w:eastAsia="宋体" w:cs="Times New Roman"/>
                <w:color w:val="000000"/>
                <w:kern w:val="0"/>
                <w:sz w:val="22"/>
                <w:szCs w:val="22"/>
                <w:highlight w:val="none"/>
                <w:lang w:val="en-US" w:eastAsia="zh-CN"/>
              </w:rPr>
            </w:pPr>
            <w:r>
              <w:rPr>
                <w:rFonts w:hint="default" w:ascii="Times New Roman" w:hAnsi="Times New Roman" w:cs="Times New Roman"/>
                <w:color w:val="000000"/>
                <w:kern w:val="0"/>
                <w:sz w:val="22"/>
                <w:szCs w:val="22"/>
                <w:highlight w:val="none"/>
                <w:lang w:val="en-US" w:eastAsia="zh-CN"/>
              </w:rPr>
              <w:t>594.3</w:t>
            </w:r>
          </w:p>
        </w:tc>
        <w:tc>
          <w:tcPr>
            <w:tcW w:w="92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778"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694"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1320"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802"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一般公共服务支出</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471.63</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471.63</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840" w:firstLineChars="4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1050" w:firstLineChars="5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20131</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党委办公厅（室）及相关机构事务</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227.75</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227.75</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840" w:firstLineChars="4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1050" w:firstLineChars="5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2013101</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行政运行</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21.93</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21.93</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840" w:firstLineChars="4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1050" w:firstLineChars="5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2013105</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专项业务</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174.40</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174.40</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2013199</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0"/>
                <w:szCs w:val="20"/>
                <w:highlight w:val="none"/>
                <w:u w:val="none"/>
                <w:lang w:val="en-US" w:eastAsia="zh-CN" w:bidi="ar"/>
              </w:rPr>
              <w:t>其他党委办公厅（室）及相关机构事务支出</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28.42</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28.42</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20136</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其他共产党事务支出</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244.74</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244.74</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nil"/>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2013601</w:t>
            </w:r>
          </w:p>
        </w:tc>
        <w:tc>
          <w:tcPr>
            <w:tcW w:w="3934" w:type="dxa"/>
            <w:tcBorders>
              <w:top w:val="nil"/>
              <w:left w:val="nil"/>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行政运行</w:t>
            </w:r>
          </w:p>
        </w:tc>
        <w:tc>
          <w:tcPr>
            <w:tcW w:w="152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lang w:val="en-US"/>
              </w:rPr>
            </w:pPr>
            <w:r>
              <w:rPr>
                <w:rFonts w:hint="default" w:ascii="Times New Roman" w:hAnsi="Times New Roman" w:cs="Times New Roman"/>
                <w:i w:val="0"/>
                <w:iCs w:val="0"/>
                <w:color w:val="000000"/>
                <w:kern w:val="0"/>
                <w:sz w:val="21"/>
                <w:szCs w:val="21"/>
                <w:highlight w:val="none"/>
                <w:u w:val="none"/>
                <w:lang w:val="en-US" w:eastAsia="zh-CN" w:bidi="ar"/>
              </w:rPr>
              <w:t>244.74</w:t>
            </w:r>
          </w:p>
        </w:tc>
        <w:tc>
          <w:tcPr>
            <w:tcW w:w="14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1"/>
                <w:szCs w:val="21"/>
                <w:highlight w:val="none"/>
              </w:rPr>
            </w:pPr>
            <w:r>
              <w:rPr>
                <w:rFonts w:hint="default" w:ascii="Times New Roman" w:hAnsi="Times New Roman" w:cs="Times New Roman"/>
                <w:i w:val="0"/>
                <w:iCs w:val="0"/>
                <w:color w:val="000000"/>
                <w:kern w:val="0"/>
                <w:sz w:val="21"/>
                <w:szCs w:val="21"/>
                <w:highlight w:val="none"/>
                <w:u w:val="none"/>
                <w:lang w:val="en-US" w:eastAsia="zh-CN" w:bidi="ar"/>
              </w:rPr>
              <w:t>244.74</w:t>
            </w:r>
          </w:p>
        </w:tc>
        <w:tc>
          <w:tcPr>
            <w:tcW w:w="9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778"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694"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1320"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c>
          <w:tcPr>
            <w:tcW w:w="802" w:type="dxa"/>
            <w:tcBorders>
              <w:top w:val="nil"/>
              <w:left w:val="nil"/>
              <w:bottom w:val="single" w:color="auto" w:sz="4" w:space="0"/>
              <w:right w:val="single" w:color="auto" w:sz="4" w:space="0"/>
            </w:tcBorders>
          </w:tcPr>
          <w:p>
            <w:pPr>
              <w:widowControl/>
              <w:ind w:firstLine="210" w:firstLineChars="100"/>
              <w:jc w:val="left"/>
              <w:rPr>
                <w:rFonts w:hint="default" w:ascii="Times New Roman" w:hAnsi="Times New Roman" w:cs="Times New Roman"/>
                <w:color w:val="000000"/>
                <w:kern w:val="0"/>
                <w:sz w:val="21"/>
                <w:szCs w:val="21"/>
                <w:highlight w:val="none"/>
              </w:rPr>
            </w:pPr>
            <w:r>
              <w:rPr>
                <w:rFonts w:hint="default" w:ascii="Times New Roman" w:hAnsi="Times New Roman" w:cs="Times New Roman"/>
                <w:color w:val="000000"/>
                <w:kern w:val="0"/>
                <w:sz w:val="21"/>
                <w:szCs w:val="21"/>
                <w:highlight w:val="none"/>
              </w:rPr>
              <w:t>　</w:t>
            </w: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20137</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网信事务</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2.14</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2.14</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w:t>
            </w: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w:t>
            </w: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w:t>
            </w: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w:t>
            </w: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color w:val="000000"/>
                <w:kern w:val="0"/>
                <w:sz w:val="21"/>
                <w:szCs w:val="21"/>
                <w:highlight w:val="none"/>
                <w:u w:val="none"/>
                <w:lang w:val="en-US" w:eastAsia="zh-CN" w:bidi="ar"/>
              </w:rPr>
              <w:t>　</w:t>
            </w: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2013701</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行政运行</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1.71</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1.71</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2013750</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事业运行</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0.43</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0.43</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208</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社会保障和就业支出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66.22</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66.22</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20805</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行政事业单位养老支出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66.22</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66.22</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2080501</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行政单位离退休</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11.2</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11.2</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2080505</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机关事业单位基本养老保险缴费支出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37.29</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37.29</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2080506</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机关事业单位职业年金缴费支出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17.72</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17.72</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210</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卫生健康支出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28.43</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28.43</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21011</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行政事业单位医疗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28.43</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28.43</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2101101</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行政单位医疗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11.96</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11.96</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2101102</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事业单位医疗</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1.11</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1.11</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2101103</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公务员医疗补助</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15.37</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15.37</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45"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221</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住房保障支出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28.02</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28.02</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r>
        <w:tblPrEx>
          <w:tblCellMar>
            <w:top w:w="0" w:type="dxa"/>
            <w:left w:w="108" w:type="dxa"/>
            <w:bottom w:w="0" w:type="dxa"/>
            <w:right w:w="108" w:type="dxa"/>
          </w:tblCellMar>
        </w:tblPrEx>
        <w:trPr>
          <w:trHeight w:val="272" w:hRule="atLeast"/>
          <w:jc w:val="center"/>
        </w:trPr>
        <w:tc>
          <w:tcPr>
            <w:tcW w:w="23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22102</w:t>
            </w:r>
          </w:p>
        </w:tc>
        <w:tc>
          <w:tcPr>
            <w:tcW w:w="39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住房改革支出</w:t>
            </w:r>
          </w:p>
        </w:tc>
        <w:tc>
          <w:tcPr>
            <w:tcW w:w="1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28.02</w:t>
            </w:r>
          </w:p>
        </w:tc>
        <w:tc>
          <w:tcPr>
            <w:tcW w:w="149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highlight w:val="none"/>
                <w:u w:val="none"/>
                <w:lang w:val="en-US" w:eastAsia="zh-CN" w:bidi="ar"/>
              </w:rPr>
            </w:pPr>
            <w:r>
              <w:rPr>
                <w:rFonts w:hint="default" w:ascii="Times New Roman" w:hAnsi="Times New Roman" w:cs="Times New Roman"/>
                <w:i w:val="0"/>
                <w:iCs w:val="0"/>
                <w:color w:val="000000"/>
                <w:kern w:val="0"/>
                <w:sz w:val="21"/>
                <w:szCs w:val="21"/>
                <w:highlight w:val="none"/>
                <w:u w:val="none"/>
                <w:lang w:val="en-US" w:eastAsia="zh-CN" w:bidi="ar"/>
              </w:rPr>
              <w:t>28.02</w:t>
            </w:r>
          </w:p>
        </w:tc>
        <w:tc>
          <w:tcPr>
            <w:tcW w:w="9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778"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694"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1320"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c>
          <w:tcPr>
            <w:tcW w:w="802"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left"/>
              <w:textAlignment w:val="center"/>
              <w:rPr>
                <w:rFonts w:hint="default" w:ascii="Times New Roman" w:hAnsi="Times New Roman" w:eastAsia="宋体" w:cs="Times New Roman"/>
                <w:i w:val="0"/>
                <w:color w:val="000000"/>
                <w:kern w:val="0"/>
                <w:sz w:val="21"/>
                <w:szCs w:val="21"/>
                <w:highlight w:val="none"/>
                <w:u w:val="none"/>
                <w:lang w:val="en-US" w:eastAsia="zh-CN" w:bidi="ar"/>
              </w:rPr>
            </w:pPr>
          </w:p>
        </w:tc>
      </w:tr>
    </w:tbl>
    <w:p>
      <w:pPr>
        <w:ind w:firstLine="840" w:firstLineChars="400"/>
        <w:rPr>
          <w:rFonts w:hint="default" w:ascii="Times New Roman" w:hAnsi="Times New Roman" w:cs="Times New Roman"/>
          <w:highlight w:val="none"/>
        </w:rPr>
      </w:pPr>
      <w:r>
        <w:rPr>
          <w:rFonts w:hint="default" w:ascii="Times New Roman" w:hAnsi="Times New Roman" w:cs="Times New Roman"/>
          <w:highlight w:val="none"/>
        </w:rPr>
        <w:t>注：本表反映部门本年度取得的各项收入情况。</w:t>
      </w:r>
    </w:p>
    <w:p>
      <w:pPr>
        <w:keepNext w:val="0"/>
        <w:keepLines w:val="0"/>
        <w:pageBreakBefore w:val="0"/>
        <w:widowControl w:val="0"/>
        <w:kinsoku/>
        <w:wordWrap/>
        <w:overflowPunct/>
        <w:topLinePunct w:val="0"/>
        <w:autoSpaceDE/>
        <w:autoSpaceDN/>
        <w:bidi w:val="0"/>
        <w:adjustRightInd/>
        <w:snapToGrid/>
        <w:spacing w:line="560" w:lineRule="exact"/>
        <w:ind w:firstLine="402"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
          <w:sz w:val="20"/>
          <w:szCs w:val="20"/>
          <w:highlight w:val="none"/>
        </w:rPr>
        <w:t>没有数据的表格要零报告，列出空表并在表格下方说明“”。</w:t>
      </w:r>
    </w:p>
    <w:p>
      <w:pPr>
        <w:rPr>
          <w:rFonts w:hint="default" w:ascii="Times New Roman" w:hAnsi="Times New Roman" w:cs="Times New Roman"/>
          <w:highlight w:val="none"/>
        </w:rPr>
        <w:sectPr>
          <w:pgSz w:w="16838" w:h="11906" w:orient="landscape"/>
          <w:pgMar w:top="1377" w:right="1440" w:bottom="1797" w:left="1440" w:header="851" w:footer="992" w:gutter="0"/>
          <w:pgNumType w:fmt="decimal"/>
          <w:cols w:space="720" w:num="1"/>
          <w:docGrid w:type="lines" w:linePitch="312" w:charSpace="0"/>
        </w:sectPr>
      </w:pPr>
    </w:p>
    <w:p>
      <w:pPr>
        <w:rPr>
          <w:rFonts w:hint="default" w:ascii="Times New Roman" w:hAnsi="Times New Roman" w:cs="Times New Roman"/>
          <w:highlight w:val="none"/>
        </w:rPr>
      </w:pPr>
    </w:p>
    <w:p>
      <w:pPr>
        <w:jc w:val="center"/>
        <w:rPr>
          <w:rFonts w:hint="default" w:ascii="Times New Roman" w:hAnsi="Times New Roman" w:cs="Times New Roman"/>
          <w:highlight w:val="none"/>
        </w:rPr>
      </w:pPr>
      <w:r>
        <w:rPr>
          <w:rFonts w:hint="default" w:ascii="Times New Roman" w:hAnsi="Times New Roman" w:eastAsia="方正小标宋简体" w:cs="Times New Roman"/>
          <w:kern w:val="0"/>
          <w:sz w:val="36"/>
          <w:szCs w:val="36"/>
          <w:highlight w:val="none"/>
        </w:rPr>
        <w:t>表三：支出决算表</w:t>
      </w:r>
    </w:p>
    <w:p>
      <w:pPr>
        <w:jc w:val="center"/>
        <w:rPr>
          <w:rFonts w:hint="default" w:ascii="Times New Roman" w:hAnsi="Times New Roman" w:cs="Times New Roman"/>
          <w:highlight w:val="none"/>
        </w:rPr>
      </w:pPr>
      <w:r>
        <w:rPr>
          <w:rFonts w:hint="default" w:ascii="Times New Roman" w:hAnsi="Times New Roman" w:cs="Times New Roman"/>
          <w:sz w:val="22"/>
          <w:szCs w:val="22"/>
          <w:highlight w:val="none"/>
          <w:lang w:val="en-US" w:eastAsia="zh-CN"/>
        </w:rPr>
        <w:t xml:space="preserve">                                                                                                                     </w:t>
      </w:r>
      <w:r>
        <w:rPr>
          <w:rFonts w:hint="default" w:ascii="Times New Roman" w:hAnsi="Times New Roman" w:cs="Times New Roman"/>
          <w:sz w:val="22"/>
          <w:szCs w:val="22"/>
          <w:highlight w:val="none"/>
        </w:rPr>
        <w:t>单位：万元</w:t>
      </w:r>
    </w:p>
    <w:tbl>
      <w:tblPr>
        <w:tblStyle w:val="5"/>
        <w:tblW w:w="14049" w:type="dxa"/>
        <w:jc w:val="center"/>
        <w:tblLayout w:type="fixed"/>
        <w:tblCellMar>
          <w:top w:w="0" w:type="dxa"/>
          <w:left w:w="108" w:type="dxa"/>
          <w:bottom w:w="0" w:type="dxa"/>
          <w:right w:w="108" w:type="dxa"/>
        </w:tblCellMar>
      </w:tblPr>
      <w:tblGrid>
        <w:gridCol w:w="1937"/>
        <w:gridCol w:w="4196"/>
        <w:gridCol w:w="1387"/>
        <w:gridCol w:w="1547"/>
        <w:gridCol w:w="1573"/>
        <w:gridCol w:w="1240"/>
        <w:gridCol w:w="773"/>
        <w:gridCol w:w="1396"/>
      </w:tblGrid>
      <w:tr>
        <w:tblPrEx>
          <w:tblCellMar>
            <w:top w:w="0" w:type="dxa"/>
            <w:left w:w="108" w:type="dxa"/>
            <w:bottom w:w="0" w:type="dxa"/>
            <w:right w:w="108" w:type="dxa"/>
          </w:tblCellMar>
        </w:tblPrEx>
        <w:trPr>
          <w:trHeight w:val="289" w:hRule="atLeast"/>
          <w:jc w:val="center"/>
        </w:trPr>
        <w:tc>
          <w:tcPr>
            <w:tcW w:w="613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支出功能项目</w:t>
            </w:r>
          </w:p>
        </w:tc>
        <w:tc>
          <w:tcPr>
            <w:tcW w:w="138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本年支出合计</w:t>
            </w:r>
          </w:p>
        </w:tc>
        <w:tc>
          <w:tcPr>
            <w:tcW w:w="154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基本支出</w:t>
            </w:r>
          </w:p>
        </w:tc>
        <w:tc>
          <w:tcPr>
            <w:tcW w:w="15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项目支出</w:t>
            </w:r>
          </w:p>
        </w:tc>
        <w:tc>
          <w:tcPr>
            <w:tcW w:w="12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上缴上级支出</w:t>
            </w:r>
          </w:p>
        </w:tc>
        <w:tc>
          <w:tcPr>
            <w:tcW w:w="7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经营支出</w:t>
            </w:r>
          </w:p>
        </w:tc>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对附属单位补助支出</w:t>
            </w:r>
          </w:p>
        </w:tc>
      </w:tr>
      <w:tr>
        <w:tblPrEx>
          <w:tblCellMar>
            <w:top w:w="0" w:type="dxa"/>
            <w:left w:w="108" w:type="dxa"/>
            <w:bottom w:w="0" w:type="dxa"/>
            <w:right w:w="108" w:type="dxa"/>
          </w:tblCellMar>
        </w:tblPrEx>
        <w:trPr>
          <w:trHeight w:val="289" w:hRule="atLeast"/>
          <w:jc w:val="center"/>
        </w:trPr>
        <w:tc>
          <w:tcPr>
            <w:tcW w:w="1937"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highlight w:val="none"/>
              </w:rPr>
            </w:pPr>
            <w:r>
              <w:rPr>
                <w:rFonts w:hint="default" w:ascii="Times New Roman" w:hAnsi="Times New Roman" w:cs="Times New Roman"/>
                <w:kern w:val="0"/>
                <w:sz w:val="22"/>
                <w:szCs w:val="22"/>
                <w:highlight w:val="none"/>
              </w:rPr>
              <w:t>支出功能分类科目编码</w:t>
            </w:r>
          </w:p>
        </w:tc>
        <w:tc>
          <w:tcPr>
            <w:tcW w:w="419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科目名称</w:t>
            </w:r>
          </w:p>
        </w:tc>
        <w:tc>
          <w:tcPr>
            <w:tcW w:w="13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highlight w:val="none"/>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15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12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highlight w:val="none"/>
              </w:rPr>
            </w:pPr>
          </w:p>
        </w:tc>
        <w:tc>
          <w:tcPr>
            <w:tcW w:w="7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highlight w:val="none"/>
              </w:rPr>
            </w:pPr>
          </w:p>
        </w:tc>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highlight w:val="none"/>
              </w:rPr>
            </w:pPr>
          </w:p>
        </w:tc>
      </w:tr>
      <w:tr>
        <w:tblPrEx>
          <w:tblCellMar>
            <w:top w:w="0" w:type="dxa"/>
            <w:left w:w="108" w:type="dxa"/>
            <w:bottom w:w="0" w:type="dxa"/>
            <w:right w:w="108" w:type="dxa"/>
          </w:tblCellMar>
        </w:tblPrEx>
        <w:trPr>
          <w:trHeight w:val="392" w:hRule="atLeast"/>
          <w:jc w:val="center"/>
        </w:trPr>
        <w:tc>
          <w:tcPr>
            <w:tcW w:w="613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栏次</w:t>
            </w:r>
          </w:p>
        </w:tc>
        <w:tc>
          <w:tcPr>
            <w:tcW w:w="1387"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1</w:t>
            </w:r>
          </w:p>
        </w:tc>
        <w:tc>
          <w:tcPr>
            <w:tcW w:w="1547" w:type="dxa"/>
            <w:tcBorders>
              <w:top w:val="nil"/>
              <w:left w:val="nil"/>
              <w:bottom w:val="single" w:color="auto" w:sz="4" w:space="0"/>
              <w:right w:val="single" w:color="auto" w:sz="4" w:space="0"/>
            </w:tcBorders>
          </w:tcPr>
          <w:p>
            <w:pPr>
              <w:widowControl/>
              <w:ind w:firstLine="880" w:firstLineChars="400"/>
              <w:jc w:val="both"/>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2</w:t>
            </w:r>
          </w:p>
        </w:tc>
        <w:tc>
          <w:tcPr>
            <w:tcW w:w="157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3</w:t>
            </w:r>
          </w:p>
        </w:tc>
        <w:tc>
          <w:tcPr>
            <w:tcW w:w="124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4</w:t>
            </w:r>
          </w:p>
        </w:tc>
        <w:tc>
          <w:tcPr>
            <w:tcW w:w="773" w:type="dxa"/>
            <w:tcBorders>
              <w:top w:val="nil"/>
              <w:left w:val="nil"/>
              <w:bottom w:val="single" w:color="auto" w:sz="4" w:space="0"/>
              <w:right w:val="single" w:color="auto" w:sz="4" w:space="0"/>
            </w:tcBorders>
          </w:tcPr>
          <w:p>
            <w:pPr>
              <w:widowControl/>
              <w:jc w:val="center"/>
              <w:rPr>
                <w:rFonts w:hint="default"/>
                <w:highlight w:val="none"/>
                <w:lang w:val="en-US" w:eastAsia="zh-CN"/>
              </w:rPr>
            </w:pPr>
            <w:r>
              <w:rPr>
                <w:rFonts w:hint="eastAsia"/>
                <w:highlight w:val="none"/>
                <w:lang w:val="en-US" w:eastAsia="zh-CN"/>
              </w:rPr>
              <w:t>5</w:t>
            </w:r>
          </w:p>
        </w:tc>
        <w:tc>
          <w:tcPr>
            <w:tcW w:w="139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6</w:t>
            </w:r>
          </w:p>
        </w:tc>
      </w:tr>
      <w:tr>
        <w:tblPrEx>
          <w:tblCellMar>
            <w:top w:w="0" w:type="dxa"/>
            <w:left w:w="108" w:type="dxa"/>
            <w:bottom w:w="0" w:type="dxa"/>
            <w:right w:w="108" w:type="dxa"/>
          </w:tblCellMar>
        </w:tblPrEx>
        <w:trPr>
          <w:trHeight w:val="289" w:hRule="atLeast"/>
          <w:jc w:val="center"/>
        </w:trPr>
        <w:tc>
          <w:tcPr>
            <w:tcW w:w="6133" w:type="dxa"/>
            <w:gridSpan w:val="2"/>
            <w:tcBorders>
              <w:top w:val="single" w:color="auto" w:sz="4" w:space="0"/>
              <w:left w:val="single" w:color="auto" w:sz="4" w:space="0"/>
              <w:bottom w:val="single" w:color="auto" w:sz="4" w:space="0"/>
              <w:right w:val="single" w:color="auto" w:sz="4" w:space="0"/>
            </w:tcBorders>
          </w:tcPr>
          <w:p>
            <w:pPr>
              <w:widowControl/>
              <w:ind w:firstLine="1980" w:firstLineChars="9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kern w:val="0"/>
                <w:sz w:val="22"/>
                <w:szCs w:val="22"/>
                <w:highlight w:val="none"/>
              </w:rPr>
              <w:t>合计</w:t>
            </w:r>
          </w:p>
        </w:tc>
        <w:tc>
          <w:tcPr>
            <w:tcW w:w="1387"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552.71</w:t>
            </w:r>
          </w:p>
        </w:tc>
        <w:tc>
          <w:tcPr>
            <w:tcW w:w="1547"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355.19</w:t>
            </w:r>
          </w:p>
        </w:tc>
        <w:tc>
          <w:tcPr>
            <w:tcW w:w="1573"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197.52</w:t>
            </w:r>
          </w:p>
        </w:tc>
        <w:tc>
          <w:tcPr>
            <w:tcW w:w="1240" w:type="dxa"/>
            <w:tcBorders>
              <w:top w:val="nil"/>
              <w:left w:val="nil"/>
              <w:bottom w:val="single" w:color="auto" w:sz="4" w:space="0"/>
              <w:right w:val="single" w:color="auto" w:sz="4" w:space="0"/>
            </w:tcBorders>
          </w:tcPr>
          <w:p>
            <w:pPr>
              <w:widowControl/>
              <w:ind w:firstLine="440" w:firstLineChars="2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773" w:type="dxa"/>
            <w:tcBorders>
              <w:top w:val="nil"/>
              <w:left w:val="nil"/>
              <w:bottom w:val="single" w:color="auto" w:sz="4" w:space="0"/>
              <w:right w:val="single" w:color="auto" w:sz="4" w:space="0"/>
            </w:tcBorders>
          </w:tcPr>
          <w:p>
            <w:pPr>
              <w:widowControl/>
              <w:ind w:firstLine="880" w:firstLineChars="4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c>
          <w:tcPr>
            <w:tcW w:w="1396" w:type="dxa"/>
            <w:tcBorders>
              <w:top w:val="nil"/>
              <w:left w:val="nil"/>
              <w:bottom w:val="single" w:color="auto" w:sz="4" w:space="0"/>
              <w:right w:val="single" w:color="auto" w:sz="4" w:space="0"/>
            </w:tcBorders>
          </w:tcPr>
          <w:p>
            <w:pPr>
              <w:widowControl/>
              <w:ind w:firstLine="220" w:firstLineChars="100"/>
              <w:jc w:val="left"/>
              <w:rPr>
                <w:rFonts w:hint="default" w:ascii="Times New Roman" w:hAnsi="Times New Roman" w:cs="Times New Roman"/>
                <w:color w:val="000000"/>
                <w:kern w:val="0"/>
                <w:sz w:val="22"/>
                <w:szCs w:val="22"/>
                <w:highlight w:val="none"/>
              </w:rPr>
            </w:pPr>
            <w:r>
              <w:rPr>
                <w:rFonts w:hint="default" w:ascii="Times New Roman" w:hAnsi="Times New Roman" w:cs="Times New Roman"/>
                <w:color w:val="000000"/>
                <w:kern w:val="0"/>
                <w:sz w:val="22"/>
                <w:szCs w:val="22"/>
                <w:highlight w:val="none"/>
              </w:rPr>
              <w:t>　</w:t>
            </w: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一般公共服务支出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437.63</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244.98</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192.65</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党委办公厅（室）及相关机构事务</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212.74</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20.09</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192.65</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2013101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行政运行</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20.09</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20.09</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2013105</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专项业务</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164.28</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164.28</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2013199</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1"/>
                <w:szCs w:val="21"/>
                <w:highlight w:val="none"/>
              </w:rPr>
            </w:pPr>
            <w:r>
              <w:rPr>
                <w:rFonts w:hint="default" w:ascii="Times New Roman" w:hAnsi="Times New Roman" w:eastAsia="宋体" w:cs="Times New Roman"/>
                <w:i w:val="0"/>
                <w:iCs w:val="0"/>
                <w:color w:val="000000"/>
                <w:kern w:val="0"/>
                <w:sz w:val="21"/>
                <w:szCs w:val="21"/>
                <w:highlight w:val="none"/>
                <w:u w:val="none"/>
                <w:lang w:val="en-US" w:eastAsia="zh-CN" w:bidi="ar"/>
              </w:rPr>
              <w:t>其他党委办公厅（室）及相关机构事务支出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28.37</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28.37</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20136</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其他共产党事务支出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222.09</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222.09</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2013601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行政运行</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222.09</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222.09</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20137</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网信事务</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2.80</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2.80</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2013701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行政运行</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1.71</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1.71</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2013750</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事业运行</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1.08</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1.08</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208</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社会保障和就业支出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53.64</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53.64</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20805</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行政事业单位养老支出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53.64</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53.64</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3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2080501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行政单位离退休</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13.02</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13.02</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2080505</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机关事业单位基本养老保险缴费支出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27.65</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bidi="ar"/>
              </w:rPr>
              <w:t>27.65</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highlight w:val="none"/>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highlight w:val="none"/>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highlight w:val="none"/>
              </w:rPr>
            </w:pPr>
          </w:p>
        </w:tc>
      </w:tr>
      <w:tr>
        <w:tblPrEx>
          <w:tblCellMar>
            <w:top w:w="0" w:type="dxa"/>
            <w:left w:w="108" w:type="dxa"/>
            <w:bottom w:w="0" w:type="dxa"/>
            <w:right w:w="108" w:type="dxa"/>
          </w:tblCellMar>
        </w:tblPrEx>
        <w:trPr>
          <w:trHeight w:val="222"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机关事业单位职业年金缴费支出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12.97</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12.97</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卫生健康支出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33.42</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28.55</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4.87</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21004</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公共卫生</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4.87</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4.87</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2100409</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重大公共卫生服务</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4.87</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4.87</w:t>
            </w: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行政事业单位医疗</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28.55</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28.55</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行政单位医疗</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11.96</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11.96</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事业单位医疗</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1.23</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1.23</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2101103</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公务员医疗补助</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15.37</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15.37</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住房保障支出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28.02</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28.02</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rPr>
            </w:pPr>
            <w:r>
              <w:rPr>
                <w:rFonts w:hint="default" w:ascii="Times New Roman" w:hAnsi="Times New Roman" w:eastAsia="宋体" w:cs="Times New Roman"/>
                <w:i w:val="0"/>
                <w:iCs w:val="0"/>
                <w:color w:val="000000"/>
                <w:kern w:val="0"/>
                <w:sz w:val="22"/>
                <w:szCs w:val="22"/>
                <w:u w:val="none"/>
                <w:lang w:val="en-US" w:eastAsia="zh-CN" w:bidi="ar"/>
              </w:rPr>
              <w:t>22102</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住房改革支出</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28.02</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28.02</w:t>
            </w:r>
          </w:p>
        </w:tc>
        <w:tc>
          <w:tcPr>
            <w:tcW w:w="1573"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9"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419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住房公积金</w:t>
            </w:r>
          </w:p>
        </w:tc>
        <w:tc>
          <w:tcPr>
            <w:tcW w:w="138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28.02</w:t>
            </w:r>
          </w:p>
        </w:tc>
        <w:tc>
          <w:tcPr>
            <w:tcW w:w="1547"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b w:val="0"/>
                <w:bCs w:val="0"/>
                <w:color w:val="000000"/>
                <w:kern w:val="0"/>
                <w:sz w:val="22"/>
                <w:szCs w:val="22"/>
              </w:rPr>
            </w:pPr>
            <w:r>
              <w:rPr>
                <w:rFonts w:hint="default" w:ascii="Times New Roman" w:hAnsi="Times New Roman" w:eastAsia="宋体" w:cs="Times New Roman"/>
                <w:b w:val="0"/>
                <w:bCs w:val="0"/>
                <w:i w:val="0"/>
                <w:iCs w:val="0"/>
                <w:color w:val="000000"/>
                <w:kern w:val="0"/>
                <w:sz w:val="20"/>
                <w:szCs w:val="20"/>
                <w:u w:val="none"/>
                <w:lang w:val="en-US" w:eastAsia="zh-CN" w:bidi="ar"/>
              </w:rPr>
              <w:t>28.02</w:t>
            </w:r>
          </w:p>
        </w:tc>
        <w:tc>
          <w:tcPr>
            <w:tcW w:w="1573"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b w:val="0"/>
                <w:bCs w:val="0"/>
                <w:color w:val="000000"/>
                <w:kern w:val="0"/>
                <w:sz w:val="22"/>
                <w:szCs w:val="22"/>
              </w:rPr>
            </w:pPr>
          </w:p>
        </w:tc>
        <w:tc>
          <w:tcPr>
            <w:tcW w:w="1240"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773" w:type="dxa"/>
            <w:tcBorders>
              <w:top w:val="single" w:color="auto" w:sz="4" w:space="0"/>
              <w:left w:val="single" w:color="auto" w:sz="4" w:space="0"/>
              <w:bottom w:val="single" w:color="auto" w:sz="4" w:space="0"/>
              <w:right w:val="single" w:color="auto" w:sz="4" w:space="0"/>
            </w:tcBorders>
          </w:tcPr>
          <w:p>
            <w:pPr>
              <w:widowControl/>
              <w:ind w:firstLine="440" w:firstLineChars="200"/>
              <w:jc w:val="both"/>
              <w:rPr>
                <w:rFonts w:hint="default" w:ascii="Times New Roman" w:hAnsi="Times New Roman" w:cs="Times New Roman"/>
                <w:color w:val="000000"/>
                <w:kern w:val="0"/>
                <w:sz w:val="22"/>
                <w:szCs w:val="22"/>
              </w:rPr>
            </w:pPr>
          </w:p>
        </w:tc>
        <w:tc>
          <w:tcPr>
            <w:tcW w:w="1396" w:type="dxa"/>
            <w:tcBorders>
              <w:top w:val="single" w:color="auto" w:sz="4" w:space="0"/>
              <w:left w:val="single" w:color="auto" w:sz="4" w:space="0"/>
              <w:bottom w:val="single" w:color="auto" w:sz="4" w:space="0"/>
              <w:right w:val="single" w:color="auto" w:sz="4" w:space="0"/>
            </w:tcBorders>
          </w:tcPr>
          <w:p>
            <w:pPr>
              <w:widowControl/>
              <w:ind w:firstLine="220" w:firstLineChars="100"/>
              <w:jc w:val="both"/>
              <w:rPr>
                <w:rFonts w:hint="default" w:ascii="Times New Roman" w:hAnsi="Times New Roman" w:cs="Times New Roman"/>
                <w:color w:val="000000"/>
                <w:kern w:val="0"/>
                <w:sz w:val="22"/>
                <w:szCs w:val="22"/>
              </w:rPr>
            </w:pPr>
          </w:p>
        </w:tc>
      </w:tr>
    </w:tbl>
    <w:p>
      <w:pPr>
        <w:rPr>
          <w:rFonts w:hint="default" w:ascii="Times New Roman" w:hAnsi="Times New Roman" w:cs="Times New Roman"/>
        </w:rPr>
      </w:pPr>
    </w:p>
    <w:p>
      <w:pPr>
        <w:ind w:firstLine="840" w:firstLineChars="400"/>
        <w:rPr>
          <w:rFonts w:hint="default" w:ascii="Times New Roman" w:hAnsi="Times New Roman" w:cs="Times New Roman"/>
        </w:rPr>
      </w:pPr>
      <w:r>
        <w:rPr>
          <w:rFonts w:hint="default" w:ascii="Times New Roman" w:hAnsi="Times New Roman" w:cs="Times New Roman"/>
        </w:rPr>
        <w:t>注：本表反映部门本年度各项支出情况。</w:t>
      </w:r>
    </w:p>
    <w:p>
      <w:pPr>
        <w:rPr>
          <w:rFonts w:hint="default" w:ascii="Times New Roman" w:hAnsi="Times New Roman" w:cs="Times New Roman"/>
        </w:rPr>
      </w:pPr>
      <w:r>
        <w:rPr>
          <w:rFonts w:hint="default" w:ascii="Times New Roman" w:hAnsi="Times New Roman" w:cs="Times New Roman"/>
        </w:rPr>
        <w:br w:type="page"/>
      </w:r>
    </w:p>
    <w:p>
      <w:pPr>
        <w:rPr>
          <w:rFonts w:hint="default" w:ascii="Times New Roman" w:hAnsi="Times New Roman" w:cs="Times New Roman"/>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表四：财政拨款收入支出决算总表</w:t>
      </w:r>
    </w:p>
    <w:p>
      <w:pPr>
        <w:jc w:val="center"/>
        <w:rPr>
          <w:rFonts w:hint="default" w:ascii="Times New Roman" w:hAnsi="Times New Roman" w:eastAsia="方正小标宋简体" w:cs="Times New Roman"/>
          <w:kern w:val="0"/>
          <w:sz w:val="36"/>
          <w:szCs w:val="36"/>
        </w:rPr>
      </w:pPr>
      <w:r>
        <w:rPr>
          <w:rFonts w:hint="default" w:ascii="Times New Roman" w:hAnsi="Times New Roman" w:cs="Times New Roman"/>
          <w:sz w:val="22"/>
          <w:szCs w:val="22"/>
          <w:lang w:val="en-US" w:eastAsia="zh-CN"/>
        </w:rPr>
        <w:t xml:space="preserve">                                                                                                                  </w:t>
      </w:r>
      <w:r>
        <w:rPr>
          <w:rFonts w:hint="default" w:ascii="Times New Roman" w:hAnsi="Times New Roman" w:cs="Times New Roman"/>
          <w:sz w:val="22"/>
          <w:szCs w:val="22"/>
        </w:rPr>
        <w:t>单位：万元</w:t>
      </w:r>
    </w:p>
    <w:tbl>
      <w:tblPr>
        <w:tblStyle w:val="5"/>
        <w:tblW w:w="13765" w:type="dxa"/>
        <w:jc w:val="center"/>
        <w:tblLayout w:type="fixed"/>
        <w:tblCellMar>
          <w:top w:w="0" w:type="dxa"/>
          <w:left w:w="108" w:type="dxa"/>
          <w:bottom w:w="0" w:type="dxa"/>
          <w:right w:w="108" w:type="dxa"/>
        </w:tblCellMar>
      </w:tblPr>
      <w:tblGrid>
        <w:gridCol w:w="3500"/>
        <w:gridCol w:w="453"/>
        <w:gridCol w:w="1214"/>
        <w:gridCol w:w="3520"/>
        <w:gridCol w:w="706"/>
        <w:gridCol w:w="1294"/>
        <w:gridCol w:w="1466"/>
        <w:gridCol w:w="1612"/>
      </w:tblGrid>
      <w:tr>
        <w:tblPrEx>
          <w:tblCellMar>
            <w:top w:w="0" w:type="dxa"/>
            <w:left w:w="108" w:type="dxa"/>
            <w:bottom w:w="0" w:type="dxa"/>
            <w:right w:w="108" w:type="dxa"/>
          </w:tblCellMar>
        </w:tblPrEx>
        <w:trPr>
          <w:trHeight w:val="300" w:hRule="atLeast"/>
          <w:jc w:val="center"/>
        </w:trPr>
        <w:tc>
          <w:tcPr>
            <w:tcW w:w="5167" w:type="dxa"/>
            <w:gridSpan w:val="3"/>
            <w:tcBorders>
              <w:top w:val="single" w:color="auto" w:sz="4" w:space="0"/>
              <w:left w:val="single" w:color="auto" w:sz="4" w:space="0"/>
              <w:bottom w:val="single" w:color="auto" w:sz="4" w:space="0"/>
              <w:right w:val="single" w:color="000000"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收 入</w:t>
            </w:r>
          </w:p>
        </w:tc>
        <w:tc>
          <w:tcPr>
            <w:tcW w:w="8598" w:type="dxa"/>
            <w:gridSpan w:val="5"/>
            <w:tcBorders>
              <w:top w:val="single" w:color="auto" w:sz="4" w:space="0"/>
              <w:left w:val="nil"/>
              <w:bottom w:val="single" w:color="auto" w:sz="4" w:space="0"/>
              <w:right w:val="single" w:color="000000"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支 出</w:t>
            </w:r>
          </w:p>
        </w:tc>
      </w:tr>
      <w:tr>
        <w:tblPrEx>
          <w:tblCellMar>
            <w:top w:w="0" w:type="dxa"/>
            <w:left w:w="108" w:type="dxa"/>
            <w:bottom w:w="0" w:type="dxa"/>
            <w:right w:w="108" w:type="dxa"/>
          </w:tblCellMar>
        </w:tblPrEx>
        <w:trPr>
          <w:trHeight w:val="732" w:hRule="atLeast"/>
          <w:jc w:val="center"/>
        </w:trPr>
        <w:tc>
          <w:tcPr>
            <w:tcW w:w="350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 目</w:t>
            </w:r>
          </w:p>
        </w:tc>
        <w:tc>
          <w:tcPr>
            <w:tcW w:w="453"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行次</w:t>
            </w:r>
          </w:p>
        </w:tc>
        <w:tc>
          <w:tcPr>
            <w:tcW w:w="121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金额</w:t>
            </w:r>
          </w:p>
        </w:tc>
        <w:tc>
          <w:tcPr>
            <w:tcW w:w="3520"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项 目</w:t>
            </w:r>
          </w:p>
        </w:tc>
        <w:tc>
          <w:tcPr>
            <w:tcW w:w="70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行次</w:t>
            </w:r>
          </w:p>
        </w:tc>
        <w:tc>
          <w:tcPr>
            <w:tcW w:w="1294"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46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一般公共预算财政拨款</w:t>
            </w:r>
          </w:p>
        </w:tc>
        <w:tc>
          <w:tcPr>
            <w:tcW w:w="161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政府性基金预算财政拨款</w:t>
            </w:r>
          </w:p>
        </w:tc>
      </w:tr>
      <w:tr>
        <w:tblPrEx>
          <w:tblCellMar>
            <w:top w:w="0" w:type="dxa"/>
            <w:left w:w="108" w:type="dxa"/>
            <w:bottom w:w="0" w:type="dxa"/>
            <w:right w:w="108" w:type="dxa"/>
          </w:tblCellMar>
        </w:tblPrEx>
        <w:trPr>
          <w:trHeight w:val="288"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 次</w:t>
            </w:r>
          </w:p>
        </w:tc>
        <w:tc>
          <w:tcPr>
            <w:tcW w:w="453" w:type="dxa"/>
            <w:tcBorders>
              <w:top w:val="nil"/>
              <w:left w:val="nil"/>
              <w:bottom w:val="single" w:color="auto" w:sz="4" w:space="0"/>
              <w:right w:val="single" w:color="auto" w:sz="4" w:space="0"/>
            </w:tcBorders>
            <w:vAlign w:val="top"/>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14"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3520" w:type="dxa"/>
            <w:tcBorders>
              <w:top w:val="nil"/>
              <w:left w:val="nil"/>
              <w:bottom w:val="single" w:color="auto" w:sz="4" w:space="0"/>
              <w:right w:val="single" w:color="auto" w:sz="4" w:space="0"/>
            </w:tcBorders>
            <w:vAlign w:val="top"/>
          </w:tcPr>
          <w:p>
            <w:pPr>
              <w:widowControl/>
              <w:ind w:firstLine="880" w:firstLineChars="400"/>
              <w:jc w:val="left"/>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栏 次</w:t>
            </w:r>
          </w:p>
        </w:tc>
        <w:tc>
          <w:tcPr>
            <w:tcW w:w="706" w:type="dxa"/>
            <w:tcBorders>
              <w:top w:val="nil"/>
              <w:left w:val="nil"/>
              <w:bottom w:val="single" w:color="auto" w:sz="4" w:space="0"/>
              <w:right w:val="single" w:color="auto" w:sz="4" w:space="0"/>
            </w:tcBorders>
            <w:vAlign w:val="top"/>
          </w:tcPr>
          <w:p>
            <w:pPr>
              <w:widowControl/>
              <w:ind w:firstLine="220" w:firstLineChars="100"/>
              <w:jc w:val="left"/>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　</w:t>
            </w:r>
          </w:p>
        </w:tc>
        <w:tc>
          <w:tcPr>
            <w:tcW w:w="1294"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1466"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612"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kern w:val="0"/>
                <w:sz w:val="20"/>
                <w:szCs w:val="20"/>
              </w:rPr>
              <w:t>一、一般公共预算财政拨款</w:t>
            </w:r>
            <w:r>
              <w:rPr>
                <w:rFonts w:hint="default" w:ascii="Times New Roman" w:hAnsi="Times New Roman" w:cs="Times New Roman"/>
                <w:kern w:val="0"/>
                <w:sz w:val="20"/>
                <w:szCs w:val="20"/>
                <w:lang w:eastAsia="zh-CN"/>
              </w:rPr>
              <w:t>收入</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594.3</w:t>
            </w: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一、一般公共服务支出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32</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437.63</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437.63</w:t>
            </w: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kern w:val="0"/>
                <w:sz w:val="20"/>
                <w:szCs w:val="20"/>
              </w:rPr>
              <w:t>二、政府性基金预算财政拨款</w:t>
            </w:r>
            <w:r>
              <w:rPr>
                <w:rFonts w:hint="default" w:ascii="Times New Roman" w:hAnsi="Times New Roman" w:cs="Times New Roman"/>
                <w:kern w:val="0"/>
                <w:sz w:val="20"/>
                <w:szCs w:val="20"/>
                <w:lang w:eastAsia="zh-CN"/>
              </w:rPr>
              <w:t>收入</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二、外交支出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33</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三、国防支出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34</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四、公共安全支出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35</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5</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五、教育支出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36</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6</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六、科学技术支出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37</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7</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七、文化旅游体育与传媒支出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38</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8</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八、社会保障和就业支出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39</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53.64</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53.64</w:t>
            </w:r>
          </w:p>
        </w:tc>
        <w:tc>
          <w:tcPr>
            <w:tcW w:w="1612" w:type="dxa"/>
            <w:tcBorders>
              <w:top w:val="nil"/>
              <w:left w:val="nil"/>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9</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九、卫生健康支出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40</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33.42</w:t>
            </w: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33.42</w:t>
            </w: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10</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十、节能环保支出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41</w:t>
            </w:r>
          </w:p>
        </w:tc>
        <w:tc>
          <w:tcPr>
            <w:tcW w:w="129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nil"/>
              <w:left w:val="nil"/>
              <w:bottom w:val="single" w:color="auto" w:sz="4" w:space="0"/>
              <w:right w:val="single" w:color="auto" w:sz="4" w:space="0"/>
            </w:tcBorders>
            <w:vAlign w:val="top"/>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11</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十一、城乡社区支出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42</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12</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十二、农林水支出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lang w:val="en-US" w:eastAsia="zh-CN"/>
              </w:rPr>
            </w:pPr>
            <w:r>
              <w:rPr>
                <w:rFonts w:hint="default" w:ascii="Times New Roman" w:hAnsi="Times New Roman" w:eastAsia="宋体" w:cs="Times New Roman"/>
                <w:i w:val="0"/>
                <w:color w:val="000000"/>
                <w:kern w:val="0"/>
                <w:sz w:val="20"/>
                <w:szCs w:val="20"/>
                <w:u w:val="none"/>
                <w:lang w:val="en-US" w:eastAsia="zh-CN" w:bidi="ar"/>
              </w:rPr>
              <w:t>43</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13</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十三、交通运输支出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44</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14</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十四、资源勘探信息等支出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45</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15</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十五、商业服务业等支出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46</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nil"/>
              <w:left w:val="single" w:color="auto" w:sz="4" w:space="0"/>
              <w:bottom w:val="single" w:color="auto" w:sz="4" w:space="0"/>
              <w:right w:val="single" w:color="auto" w:sz="4" w:space="0"/>
            </w:tcBorders>
            <w:vAlign w:val="top"/>
          </w:tcPr>
          <w:p>
            <w:pPr>
              <w:widowControl/>
              <w:jc w:val="left"/>
              <w:rPr>
                <w:rFonts w:hint="default" w:ascii="Times New Roman" w:hAnsi="Times New Roman" w:cs="Times New Roman"/>
                <w:color w:val="000000"/>
                <w:kern w:val="0"/>
                <w:sz w:val="20"/>
                <w:szCs w:val="20"/>
              </w:rPr>
            </w:pPr>
          </w:p>
        </w:tc>
        <w:tc>
          <w:tcPr>
            <w:tcW w:w="45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16</w:t>
            </w:r>
          </w:p>
        </w:tc>
        <w:tc>
          <w:tcPr>
            <w:tcW w:w="1214" w:type="dxa"/>
            <w:tcBorders>
              <w:top w:val="nil"/>
              <w:left w:val="nil"/>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十六、金融支出</w:t>
            </w:r>
          </w:p>
        </w:tc>
        <w:tc>
          <w:tcPr>
            <w:tcW w:w="70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47</w:t>
            </w:r>
          </w:p>
        </w:tc>
        <w:tc>
          <w:tcPr>
            <w:tcW w:w="12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nil"/>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color w:val="000000"/>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17</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十七、援助其他地区支出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48</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18</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十八、自然资源海洋气象等支出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49</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19</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十九、住房保障支出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50</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28.02</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28.02</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20</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二十、粮油物资储备支出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51</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21</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二十一、灾害防治及应急管理支出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52</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22</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kern w:val="0"/>
                <w:sz w:val="20"/>
                <w:szCs w:val="20"/>
              </w:rPr>
            </w:pPr>
            <w:r>
              <w:rPr>
                <w:rFonts w:hint="default" w:ascii="Times New Roman" w:hAnsi="Times New Roman" w:eastAsia="宋体" w:cs="Times New Roman"/>
                <w:i w:val="0"/>
                <w:color w:val="000000"/>
                <w:kern w:val="0"/>
                <w:sz w:val="20"/>
                <w:szCs w:val="20"/>
                <w:u w:val="none"/>
                <w:lang w:val="en-US" w:eastAsia="zh-CN" w:bidi="ar"/>
              </w:rPr>
              <w:t>二十二、其他支出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53</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eastAsia="宋体" w:cs="Times New Roman"/>
                <w:color w:val="000000"/>
                <w:kern w:val="0"/>
                <w:sz w:val="20"/>
                <w:szCs w:val="20"/>
                <w:lang w:val="en-US" w:eastAsia="zh-CN" w:bidi="ar-SA"/>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23</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二十三、债务还本支出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54</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eastAsia="宋体" w:cs="Times New Roman"/>
                <w:color w:val="000000"/>
                <w:kern w:val="0"/>
                <w:sz w:val="20"/>
                <w:szCs w:val="20"/>
                <w:lang w:val="en-US" w:eastAsia="zh-CN" w:bidi="ar-SA"/>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24</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二十四、债务付息支出</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55</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ind w:firstLine="1400" w:firstLineChars="700"/>
              <w:jc w:val="left"/>
              <w:rPr>
                <w:rFonts w:hint="default" w:ascii="Times New Roman" w:hAnsi="Times New Roman" w:eastAsia="宋体" w:cs="Times New Roman"/>
                <w:kern w:val="0"/>
                <w:sz w:val="20"/>
                <w:szCs w:val="20"/>
                <w:lang w:val="en-US" w:eastAsia="zh-CN" w:bidi="ar-SA"/>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25</w:t>
            </w:r>
          </w:p>
        </w:tc>
        <w:tc>
          <w:tcPr>
            <w:tcW w:w="121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i w:val="0"/>
                <w:color w:val="000000"/>
                <w:kern w:val="0"/>
                <w:sz w:val="20"/>
                <w:szCs w:val="20"/>
                <w:u w:val="none"/>
                <w:lang w:val="en-US" w:eastAsia="zh-CN" w:bidi="ar"/>
              </w:rPr>
              <w:t>56</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本年收入合计</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26</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594.3</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本年支出合计</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i w:val="0"/>
                <w:color w:val="000000"/>
                <w:kern w:val="0"/>
                <w:sz w:val="20"/>
                <w:szCs w:val="20"/>
                <w:u w:val="none"/>
                <w:lang w:val="en-US" w:eastAsia="zh-CN" w:bidi="ar"/>
              </w:rPr>
              <w:t>57</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552.71</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552.71</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ind w:firstLine="400" w:firstLineChars="20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年初财政拨款结转和结余</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27</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8.55</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年末</w:t>
            </w:r>
            <w:r>
              <w:rPr>
                <w:rFonts w:hint="default" w:ascii="Times New Roman" w:hAnsi="Times New Roman" w:cs="Times New Roman"/>
                <w:kern w:val="0"/>
                <w:sz w:val="20"/>
                <w:szCs w:val="20"/>
                <w:lang w:eastAsia="zh-CN"/>
              </w:rPr>
              <w:t>财政拨款</w:t>
            </w:r>
            <w:r>
              <w:rPr>
                <w:rFonts w:hint="default" w:ascii="Times New Roman" w:hAnsi="Times New Roman" w:cs="Times New Roman"/>
                <w:kern w:val="0"/>
                <w:sz w:val="20"/>
                <w:szCs w:val="20"/>
              </w:rPr>
              <w:t>结转和结余</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i w:val="0"/>
                <w:color w:val="000000"/>
                <w:kern w:val="0"/>
                <w:sz w:val="20"/>
                <w:szCs w:val="20"/>
                <w:u w:val="none"/>
                <w:lang w:val="en-US" w:eastAsia="zh-CN" w:bidi="ar"/>
              </w:rPr>
              <w:t>58</w:t>
            </w:r>
          </w:p>
        </w:tc>
        <w:tc>
          <w:tcPr>
            <w:tcW w:w="129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50.14</w:t>
            </w:r>
          </w:p>
        </w:tc>
        <w:tc>
          <w:tcPr>
            <w:tcW w:w="14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50.14</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ind w:firstLine="400" w:firstLineChars="200"/>
              <w:jc w:val="left"/>
              <w:rPr>
                <w:rFonts w:hint="default" w:ascii="Times New Roman" w:hAnsi="Times New Roman" w:eastAsia="宋体" w:cs="Times New Roman"/>
                <w:kern w:val="0"/>
                <w:sz w:val="20"/>
                <w:szCs w:val="20"/>
                <w:lang w:val="en-US" w:eastAsia="zh-CN" w:bidi="ar-SA"/>
              </w:rPr>
            </w:pPr>
            <w:r>
              <w:rPr>
                <w:rFonts w:hint="default" w:ascii="Times New Roman" w:hAnsi="Times New Roman" w:cs="Times New Roman"/>
                <w:kern w:val="0"/>
                <w:sz w:val="20"/>
                <w:szCs w:val="20"/>
              </w:rPr>
              <w:t>一般公共预算财政拨款</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28</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8.55</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rPr>
              <w:t>　</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i w:val="0"/>
                <w:color w:val="000000"/>
                <w:kern w:val="0"/>
                <w:sz w:val="20"/>
                <w:szCs w:val="20"/>
                <w:u w:val="none"/>
                <w:lang w:val="en-US" w:eastAsia="zh-CN" w:bidi="ar"/>
              </w:rPr>
              <w:t>59</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ind w:firstLine="400" w:firstLineChars="200"/>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政府性基金预算财政拨款</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eastAsia="宋体" w:cs="Times New Roman"/>
                <w:i w:val="0"/>
                <w:color w:val="000000"/>
                <w:kern w:val="0"/>
                <w:sz w:val="20"/>
                <w:szCs w:val="20"/>
                <w:u w:val="none"/>
                <w:lang w:val="en-US" w:eastAsia="zh-CN" w:bidi="ar"/>
              </w:rPr>
              <w:t>29</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left"/>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rPr>
              <w:t>　</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i w:val="0"/>
                <w:color w:val="000000"/>
                <w:kern w:val="0"/>
                <w:sz w:val="20"/>
                <w:szCs w:val="20"/>
                <w:u w:val="none"/>
                <w:lang w:val="en-US" w:eastAsia="zh-CN" w:bidi="ar"/>
              </w:rPr>
              <w:t>60</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color w:val="000000"/>
                <w:kern w:val="0"/>
                <w:sz w:val="20"/>
                <w:szCs w:val="20"/>
                <w:u w:val="none"/>
                <w:lang w:val="en-US" w:eastAsia="zh-CN" w:bidi="ar"/>
              </w:rPr>
              <w:t>30</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cs="Times New Roman"/>
                <w:kern w:val="0"/>
                <w:sz w:val="20"/>
                <w:szCs w:val="20"/>
              </w:rPr>
            </w:pP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color w:val="000000"/>
                <w:kern w:val="0"/>
                <w:sz w:val="20"/>
                <w:szCs w:val="20"/>
                <w:lang w:val="en-US"/>
              </w:rPr>
            </w:pPr>
            <w:r>
              <w:rPr>
                <w:rFonts w:hint="default" w:ascii="Times New Roman" w:hAnsi="Times New Roman" w:cs="Times New Roman"/>
                <w:i w:val="0"/>
                <w:color w:val="000000"/>
                <w:kern w:val="0"/>
                <w:sz w:val="20"/>
                <w:szCs w:val="20"/>
                <w:u w:val="none"/>
                <w:lang w:val="en-US" w:eastAsia="zh-CN" w:bidi="ar"/>
              </w:rPr>
              <w:t>61</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600" w:firstLineChars="300"/>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170" w:hRule="atLeast"/>
          <w:jc w:val="center"/>
        </w:trPr>
        <w:tc>
          <w:tcPr>
            <w:tcW w:w="350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合计</w:t>
            </w:r>
          </w:p>
        </w:tc>
        <w:tc>
          <w:tcPr>
            <w:tcW w:w="45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color w:val="000000"/>
                <w:kern w:val="0"/>
                <w:sz w:val="20"/>
                <w:szCs w:val="20"/>
                <w:lang w:val="en-US" w:eastAsia="zh-CN" w:bidi="ar-SA"/>
              </w:rPr>
              <w:t>31</w:t>
            </w:r>
          </w:p>
        </w:tc>
        <w:tc>
          <w:tcPr>
            <w:tcW w:w="121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602.85</w:t>
            </w:r>
          </w:p>
        </w:tc>
        <w:tc>
          <w:tcPr>
            <w:tcW w:w="3520" w:type="dxa"/>
            <w:tcBorders>
              <w:top w:val="single" w:color="auto" w:sz="4" w:space="0"/>
              <w:left w:val="single" w:color="auto" w:sz="4" w:space="0"/>
              <w:bottom w:val="single" w:color="auto" w:sz="4" w:space="0"/>
              <w:right w:val="single" w:color="auto" w:sz="4" w:space="0"/>
            </w:tcBorders>
            <w:vAlign w:val="top"/>
          </w:tcPr>
          <w:p>
            <w:pPr>
              <w:widowControl/>
              <w:jc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kern w:val="0"/>
                <w:sz w:val="20"/>
                <w:szCs w:val="20"/>
              </w:rPr>
              <w:t>合计</w:t>
            </w:r>
          </w:p>
        </w:tc>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color w:val="000000"/>
                <w:kern w:val="0"/>
                <w:sz w:val="20"/>
                <w:szCs w:val="20"/>
                <w:lang w:val="en-US" w:eastAsia="zh-CN" w:bidi="ar-SA"/>
              </w:rPr>
            </w:pPr>
            <w:r>
              <w:rPr>
                <w:rFonts w:hint="default" w:ascii="Times New Roman" w:hAnsi="Times New Roman" w:cs="Times New Roman"/>
                <w:i w:val="0"/>
                <w:color w:val="000000"/>
                <w:kern w:val="0"/>
                <w:sz w:val="20"/>
                <w:szCs w:val="20"/>
                <w:u w:val="none"/>
                <w:lang w:val="en-US" w:eastAsia="zh-CN" w:bidi="ar"/>
              </w:rPr>
              <w:t>62</w:t>
            </w:r>
          </w:p>
        </w:tc>
        <w:tc>
          <w:tcPr>
            <w:tcW w:w="1294"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602.85</w:t>
            </w:r>
          </w:p>
        </w:tc>
        <w:tc>
          <w:tcPr>
            <w:tcW w:w="1466"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cs="Times New Roman"/>
                <w:i w:val="0"/>
                <w:color w:val="000000"/>
                <w:kern w:val="0"/>
                <w:sz w:val="21"/>
                <w:szCs w:val="21"/>
                <w:u w:val="none"/>
                <w:lang w:val="en-US" w:eastAsia="zh-CN" w:bidi="ar"/>
              </w:rPr>
            </w:pPr>
            <w:r>
              <w:rPr>
                <w:rFonts w:hint="eastAsia" w:cs="Times New Roman"/>
                <w:i w:val="0"/>
                <w:color w:val="000000"/>
                <w:kern w:val="0"/>
                <w:sz w:val="21"/>
                <w:szCs w:val="21"/>
                <w:u w:val="none"/>
                <w:lang w:val="en-US" w:eastAsia="zh-CN" w:bidi="ar"/>
              </w:rPr>
              <w:t>602.85</w:t>
            </w:r>
          </w:p>
        </w:tc>
        <w:tc>
          <w:tcPr>
            <w:tcW w:w="1612" w:type="dxa"/>
            <w:tcBorders>
              <w:top w:val="single" w:color="auto" w:sz="4" w:space="0"/>
              <w:left w:val="single" w:color="auto" w:sz="4" w:space="0"/>
              <w:bottom w:val="single" w:color="auto" w:sz="4" w:space="0"/>
              <w:right w:val="single" w:color="auto" w:sz="4" w:space="0"/>
            </w:tcBorders>
            <w:vAlign w:val="top"/>
          </w:tcPr>
          <w:p>
            <w:pPr>
              <w:widowControl/>
              <w:ind w:firstLine="800" w:firstLineChars="400"/>
              <w:jc w:val="left"/>
              <w:rPr>
                <w:rFonts w:hint="default" w:ascii="Times New Roman" w:hAnsi="Times New Roman" w:cs="Times New Roman"/>
                <w:color w:val="000000"/>
                <w:kern w:val="0"/>
                <w:sz w:val="20"/>
                <w:szCs w:val="20"/>
              </w:rPr>
            </w:pPr>
          </w:p>
        </w:tc>
      </w:tr>
    </w:tbl>
    <w:p>
      <w:pPr>
        <w:ind w:firstLine="1050" w:firstLineChars="500"/>
        <w:rPr>
          <w:rFonts w:hint="default" w:ascii="Times New Roman" w:hAnsi="Times New Roman" w:cs="Times New Roman"/>
          <w:lang w:eastAsia="zh-CN"/>
        </w:rPr>
      </w:pPr>
      <w:r>
        <w:rPr>
          <w:rFonts w:hint="default" w:ascii="Times New Roman" w:hAnsi="Times New Roman" w:cs="Times New Roman"/>
          <w:lang w:eastAsia="zh-CN"/>
        </w:rPr>
        <w:t>注：本表反映部门本年度一般公共预算财政拨款和政府性基金预算财政拨款的总收支和年末结转结余情况。</w:t>
      </w:r>
    </w:p>
    <w:p>
      <w:pPr>
        <w:rPr>
          <w:rFonts w:hint="default" w:ascii="Times New Roman" w:hAnsi="Times New Roman" w:cs="Times New Roman"/>
        </w:rPr>
      </w:pPr>
      <w:r>
        <w:rPr>
          <w:rFonts w:hint="default" w:ascii="Times New Roman" w:hAnsi="Times New Roman" w:cs="Times New Roman"/>
          <w:lang w:eastAsia="zh-CN"/>
        </w:rPr>
        <w:br w:type="page"/>
      </w: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表五：</w:t>
      </w:r>
      <w:r>
        <w:rPr>
          <w:rFonts w:hint="default" w:ascii="Times New Roman" w:hAnsi="Times New Roman" w:eastAsia="方正小标宋简体" w:cs="Times New Roman"/>
          <w:sz w:val="36"/>
          <w:szCs w:val="36"/>
        </w:rPr>
        <w:t>一般</w:t>
      </w:r>
      <w:r>
        <w:rPr>
          <w:rFonts w:hint="default" w:ascii="Times New Roman" w:hAnsi="Times New Roman" w:eastAsia="方正小标宋简体" w:cs="Times New Roman"/>
          <w:kern w:val="0"/>
          <w:sz w:val="36"/>
          <w:szCs w:val="36"/>
        </w:rPr>
        <w:t>公共预算财政拨款支出决算表</w:t>
      </w:r>
    </w:p>
    <w:p>
      <w:pPr>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lang w:val="en-US" w:eastAsia="zh-CN"/>
        </w:rPr>
        <w:t xml:space="preserve">                                                                                                                 </w:t>
      </w:r>
      <w:r>
        <w:rPr>
          <w:rFonts w:hint="default" w:ascii="Times New Roman" w:hAnsi="Times New Roman" w:cs="Times New Roman"/>
          <w:kern w:val="0"/>
          <w:sz w:val="22"/>
          <w:szCs w:val="22"/>
        </w:rPr>
        <w:t>单位：万元</w:t>
      </w:r>
    </w:p>
    <w:tbl>
      <w:tblPr>
        <w:tblStyle w:val="5"/>
        <w:tblW w:w="13227" w:type="dxa"/>
        <w:jc w:val="center"/>
        <w:tblLayout w:type="fixed"/>
        <w:tblCellMar>
          <w:top w:w="0" w:type="dxa"/>
          <w:left w:w="108" w:type="dxa"/>
          <w:bottom w:w="0" w:type="dxa"/>
          <w:right w:w="108" w:type="dxa"/>
        </w:tblCellMar>
      </w:tblPr>
      <w:tblGrid>
        <w:gridCol w:w="2422"/>
        <w:gridCol w:w="4346"/>
        <w:gridCol w:w="1819"/>
        <w:gridCol w:w="2475"/>
        <w:gridCol w:w="2165"/>
      </w:tblGrid>
      <w:tr>
        <w:tblPrEx>
          <w:tblCellMar>
            <w:top w:w="0" w:type="dxa"/>
            <w:left w:w="108" w:type="dxa"/>
            <w:bottom w:w="0" w:type="dxa"/>
            <w:right w:w="108" w:type="dxa"/>
          </w:tblCellMar>
        </w:tblPrEx>
        <w:trPr>
          <w:trHeight w:val="300" w:hRule="atLeast"/>
          <w:jc w:val="center"/>
        </w:trPr>
        <w:tc>
          <w:tcPr>
            <w:tcW w:w="676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kern w:val="0"/>
                <w:sz w:val="22"/>
                <w:szCs w:val="22"/>
              </w:rPr>
              <w:t>支出功能项目</w:t>
            </w:r>
          </w:p>
        </w:tc>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合计</w:t>
            </w:r>
          </w:p>
        </w:tc>
        <w:tc>
          <w:tcPr>
            <w:tcW w:w="24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基本支出</w:t>
            </w:r>
          </w:p>
        </w:tc>
        <w:tc>
          <w:tcPr>
            <w:tcW w:w="21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项目支出</w:t>
            </w:r>
          </w:p>
        </w:tc>
      </w:tr>
      <w:tr>
        <w:tblPrEx>
          <w:tblCellMar>
            <w:top w:w="0" w:type="dxa"/>
            <w:left w:w="108" w:type="dxa"/>
            <w:bottom w:w="0" w:type="dxa"/>
            <w:right w:w="108" w:type="dxa"/>
          </w:tblCellMar>
        </w:tblPrEx>
        <w:trPr>
          <w:trHeight w:val="300" w:hRule="atLeast"/>
          <w:jc w:val="center"/>
        </w:trPr>
        <w:tc>
          <w:tcPr>
            <w:tcW w:w="2422" w:type="dxa"/>
            <w:tcBorders>
              <w:top w:val="nil"/>
              <w:left w:val="single" w:color="auto" w:sz="4" w:space="0"/>
              <w:bottom w:val="single" w:color="auto" w:sz="4" w:space="0"/>
              <w:right w:val="single" w:color="auto" w:sz="4" w:space="0"/>
            </w:tcBorders>
            <w:vAlign w:val="center"/>
          </w:tcPr>
          <w:p>
            <w:pPr>
              <w:widowControl/>
              <w:rPr>
                <w:rFonts w:hint="default" w:ascii="Times New Roman" w:hAnsi="Times New Roman" w:eastAsia="MingLiU" w:cs="Times New Roman"/>
                <w:kern w:val="0"/>
                <w:sz w:val="22"/>
                <w:szCs w:val="22"/>
              </w:rPr>
            </w:pPr>
            <w:r>
              <w:rPr>
                <w:rFonts w:hint="default" w:ascii="Times New Roman" w:hAnsi="Times New Roman" w:cs="Times New Roman"/>
                <w:kern w:val="0"/>
                <w:sz w:val="22"/>
                <w:szCs w:val="22"/>
              </w:rPr>
              <w:t>支出功能分类</w:t>
            </w:r>
            <w:r>
              <w:rPr>
                <w:rFonts w:hint="default" w:ascii="Times New Roman" w:hAnsi="Times New Roman" w:eastAsia="MingLiU" w:cs="Times New Roman"/>
                <w:kern w:val="0"/>
                <w:sz w:val="22"/>
                <w:szCs w:val="22"/>
              </w:rPr>
              <w:t>科目编码</w:t>
            </w:r>
          </w:p>
        </w:tc>
        <w:tc>
          <w:tcPr>
            <w:tcW w:w="434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科目名称</w:t>
            </w:r>
          </w:p>
        </w:tc>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c>
          <w:tcPr>
            <w:tcW w:w="21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0"/>
                <w:szCs w:val="20"/>
              </w:rPr>
            </w:pPr>
          </w:p>
        </w:tc>
      </w:tr>
      <w:tr>
        <w:tblPrEx>
          <w:tblCellMar>
            <w:top w:w="0" w:type="dxa"/>
            <w:left w:w="108" w:type="dxa"/>
            <w:bottom w:w="0" w:type="dxa"/>
            <w:right w:w="108" w:type="dxa"/>
          </w:tblCellMar>
        </w:tblPrEx>
        <w:trPr>
          <w:trHeight w:val="264" w:hRule="atLeast"/>
          <w:jc w:val="center"/>
        </w:trPr>
        <w:tc>
          <w:tcPr>
            <w:tcW w:w="6768"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b/>
                <w:bCs/>
                <w:kern w:val="0"/>
                <w:sz w:val="18"/>
                <w:szCs w:val="18"/>
              </w:rPr>
              <w:t>栏次</w:t>
            </w:r>
          </w:p>
        </w:tc>
        <w:tc>
          <w:tcPr>
            <w:tcW w:w="1819"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1</w:t>
            </w:r>
          </w:p>
        </w:tc>
        <w:tc>
          <w:tcPr>
            <w:tcW w:w="247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2</w:t>
            </w:r>
          </w:p>
        </w:tc>
        <w:tc>
          <w:tcPr>
            <w:tcW w:w="2165"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3</w:t>
            </w:r>
          </w:p>
        </w:tc>
      </w:tr>
      <w:tr>
        <w:tblPrEx>
          <w:tblCellMar>
            <w:top w:w="0" w:type="dxa"/>
            <w:left w:w="108" w:type="dxa"/>
            <w:bottom w:w="0" w:type="dxa"/>
            <w:right w:w="108" w:type="dxa"/>
          </w:tblCellMar>
        </w:tblPrEx>
        <w:trPr>
          <w:trHeight w:val="300" w:hRule="atLeast"/>
          <w:jc w:val="center"/>
        </w:trPr>
        <w:tc>
          <w:tcPr>
            <w:tcW w:w="6768" w:type="dxa"/>
            <w:gridSpan w:val="2"/>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0"/>
                <w:szCs w:val="20"/>
              </w:rPr>
            </w:pPr>
            <w:r>
              <w:rPr>
                <w:rFonts w:hint="default" w:ascii="Times New Roman" w:hAnsi="Times New Roman" w:eastAsia="MingLiU" w:cs="Times New Roman"/>
                <w:kern w:val="0"/>
                <w:sz w:val="22"/>
                <w:szCs w:val="22"/>
              </w:rPr>
              <w:t>合计</w:t>
            </w:r>
          </w:p>
        </w:tc>
        <w:tc>
          <w:tcPr>
            <w:tcW w:w="1819"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552.71</w:t>
            </w:r>
          </w:p>
        </w:tc>
        <w:tc>
          <w:tcPr>
            <w:tcW w:w="247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355.19</w:t>
            </w:r>
          </w:p>
        </w:tc>
        <w:tc>
          <w:tcPr>
            <w:tcW w:w="2165" w:type="dxa"/>
            <w:tcBorders>
              <w:top w:val="nil"/>
              <w:left w:val="nil"/>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b w:val="0"/>
                <w:bCs w:val="0"/>
                <w:i w:val="0"/>
                <w:iCs w:val="0"/>
                <w:color w:val="000000"/>
                <w:kern w:val="0"/>
                <w:sz w:val="21"/>
                <w:szCs w:val="21"/>
                <w:u w:val="none"/>
                <w:lang w:val="en-US" w:eastAsia="zh-CN" w:bidi="ar"/>
              </w:rPr>
              <w:t>197.52</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一般公共服务支出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437.63</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244.98</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192.65</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20131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党委办公厅（室）及相关机构事务</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212.74</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20.09</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192.65</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20"/>
                <w:szCs w:val="20"/>
              </w:rPr>
            </w:pPr>
            <w:r>
              <w:rPr>
                <w:rFonts w:hint="default" w:ascii="Times New Roman" w:hAnsi="Times New Roman" w:eastAsia="宋体" w:cs="Times New Roman"/>
                <w:i w:val="0"/>
                <w:iCs w:val="0"/>
                <w:color w:val="000000"/>
                <w:kern w:val="0"/>
                <w:sz w:val="20"/>
                <w:szCs w:val="20"/>
                <w:u w:val="none"/>
                <w:lang w:val="en-US" w:eastAsia="zh-CN" w:bidi="ar"/>
              </w:rPr>
              <w:t>2013101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行政运行</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20.09</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20.09</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2013105</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专项业务</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164.28</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164.28</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2013199</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其他党委办公厅（室）及相关机构事务支出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28.37</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28.37</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20136</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其他共产党事务支出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222.09</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222.09</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2013601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行政运行</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222.09</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222.09</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20137</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网信事务</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2013701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行政运行</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1.71</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1.71</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2013750</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事业运行</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1.08</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1.08</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208</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社会保障和就业支出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53.64</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53.64</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20805</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行政事业单位养老支出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53.64</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53.64</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2080501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行政单位离退休</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13.02</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13.02</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2080505</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机关事业单位基本养老保险缴费支出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27.65</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27.65</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2080506</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机关事业单位职业年金缴费支出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12.97</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12.97</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卫生健康支出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33.42</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28.55</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4.87</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21004</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公共卫生</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4.87</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4.87</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2100409</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重大公共卫生服务</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4.87</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4.87</w:t>
            </w: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21011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行政事业单位医疗</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28.55</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28.55</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2101101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行政单位医疗</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11.96</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11.96</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2101102</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事业单位医疗</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1.23</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1.23</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2101103</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公务员医疗补助</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15.37</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15.37</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221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住房保障支出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28.02</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28.02</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22102</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cs="Times New Roman"/>
                <w:color w:val="000000"/>
                <w:kern w:val="0"/>
                <w:sz w:val="16"/>
                <w:szCs w:val="16"/>
              </w:rPr>
            </w:pPr>
            <w:r>
              <w:rPr>
                <w:rFonts w:hint="default" w:ascii="Times New Roman" w:hAnsi="Times New Roman" w:eastAsia="宋体" w:cs="Times New Roman"/>
                <w:i w:val="0"/>
                <w:iCs w:val="0"/>
                <w:color w:val="000000"/>
                <w:kern w:val="0"/>
                <w:sz w:val="20"/>
                <w:szCs w:val="20"/>
                <w:u w:val="none"/>
                <w:lang w:val="en-US" w:eastAsia="zh-CN" w:bidi="ar"/>
              </w:rPr>
              <w:t>住房改革支出</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28.02</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28.02</w:t>
            </w:r>
          </w:p>
        </w:tc>
        <w:tc>
          <w:tcPr>
            <w:tcW w:w="216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p>
        </w:tc>
      </w:tr>
      <w:tr>
        <w:tblPrEx>
          <w:tblCellMar>
            <w:top w:w="0" w:type="dxa"/>
            <w:left w:w="108" w:type="dxa"/>
            <w:bottom w:w="0" w:type="dxa"/>
            <w:right w:w="108" w:type="dxa"/>
          </w:tblCellMar>
        </w:tblPrEx>
        <w:trPr>
          <w:trHeight w:val="57" w:hRule="atLeast"/>
          <w:jc w:val="center"/>
        </w:trPr>
        <w:tc>
          <w:tcPr>
            <w:tcW w:w="24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2210201</w:t>
            </w:r>
          </w:p>
        </w:tc>
        <w:tc>
          <w:tcPr>
            <w:tcW w:w="43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住房公积金</w:t>
            </w:r>
          </w:p>
        </w:tc>
        <w:tc>
          <w:tcPr>
            <w:tcW w:w="1819"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28.02</w:t>
            </w:r>
          </w:p>
        </w:tc>
        <w:tc>
          <w:tcPr>
            <w:tcW w:w="2475" w:type="dxa"/>
            <w:tcBorders>
              <w:top w:val="single" w:color="auto" w:sz="4" w:space="0"/>
              <w:left w:val="single" w:color="auto" w:sz="4" w:space="0"/>
              <w:bottom w:val="single" w:color="auto" w:sz="4" w:space="0"/>
              <w:right w:val="single" w:color="auto" w:sz="4" w:space="0"/>
            </w:tcBorders>
            <w:vAlign w:val="bottom"/>
          </w:tcPr>
          <w:p>
            <w:pPr>
              <w:keepNext w:val="0"/>
              <w:keepLines w:val="0"/>
              <w:widowControl/>
              <w:suppressLineNumbers w:val="0"/>
              <w:jc w:val="center"/>
              <w:textAlignment w:val="bottom"/>
              <w:rPr>
                <w:rFonts w:hint="default" w:ascii="Times New Roman" w:hAnsi="Times New Roman" w:cs="Times New Roman"/>
                <w:color w:val="000000"/>
                <w:kern w:val="0"/>
                <w:sz w:val="21"/>
                <w:szCs w:val="21"/>
              </w:rPr>
            </w:pPr>
            <w:r>
              <w:rPr>
                <w:rFonts w:hint="default" w:ascii="Times New Roman" w:hAnsi="Times New Roman" w:eastAsia="宋体" w:cs="Times New Roman"/>
                <w:b w:val="0"/>
                <w:bCs w:val="0"/>
                <w:i w:val="0"/>
                <w:iCs w:val="0"/>
                <w:color w:val="000000"/>
                <w:kern w:val="0"/>
                <w:sz w:val="21"/>
                <w:szCs w:val="21"/>
                <w:u w:val="none"/>
                <w:lang w:val="en-US" w:eastAsia="zh-CN" w:bidi="ar"/>
              </w:rPr>
              <w:t>28.02</w:t>
            </w:r>
          </w:p>
        </w:tc>
        <w:tc>
          <w:tcPr>
            <w:tcW w:w="2165" w:type="dxa"/>
            <w:tcBorders>
              <w:top w:val="single" w:color="auto" w:sz="4" w:space="0"/>
              <w:left w:val="single" w:color="auto" w:sz="4" w:space="0"/>
              <w:bottom w:val="single" w:color="auto" w:sz="4" w:space="0"/>
              <w:right w:val="single" w:color="auto" w:sz="4" w:space="0"/>
            </w:tcBorders>
            <w:vAlign w:val="bottom"/>
          </w:tcPr>
          <w:p>
            <w:pPr>
              <w:jc w:val="center"/>
              <w:rPr>
                <w:rFonts w:hint="default" w:ascii="Times New Roman" w:hAnsi="Times New Roman" w:cs="Times New Roman"/>
                <w:color w:val="000000"/>
                <w:kern w:val="0"/>
                <w:sz w:val="21"/>
                <w:szCs w:val="21"/>
              </w:rPr>
            </w:pPr>
          </w:p>
        </w:tc>
      </w:tr>
    </w:tbl>
    <w:p>
      <w:pPr>
        <w:rPr>
          <w:rFonts w:hint="default" w:ascii="Times New Roman" w:hAnsi="Times New Roman" w:cs="Times New Roman"/>
        </w:rPr>
      </w:pPr>
    </w:p>
    <w:p>
      <w:pPr>
        <w:ind w:firstLine="1050" w:firstLineChars="500"/>
        <w:rPr>
          <w:rFonts w:hint="default" w:ascii="Times New Roman" w:hAnsi="Times New Roman" w:cs="Times New Roman"/>
        </w:rPr>
      </w:pPr>
      <w:r>
        <w:rPr>
          <w:rFonts w:hint="default" w:ascii="Times New Roman" w:hAnsi="Times New Roman" w:cs="Times New Roman"/>
        </w:rPr>
        <w:t>注：本表反映部门本年度一般公共预算财政拨款实际支出情况。</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sectPr>
          <w:footerReference r:id="rId9" w:type="default"/>
          <w:footerReference r:id="rId10" w:type="even"/>
          <w:pgSz w:w="16838" w:h="11906" w:orient="landscape"/>
          <w:pgMar w:top="720" w:right="550" w:bottom="567" w:left="720" w:header="851" w:footer="992" w:gutter="0"/>
          <w:pgNumType w:fmt="decimal"/>
          <w:cols w:space="720" w:num="1"/>
          <w:docGrid w:type="lines" w:linePitch="312" w:charSpace="0"/>
        </w:sectPr>
      </w:pP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表六</w:t>
      </w:r>
      <w:r>
        <w:rPr>
          <w:rFonts w:hint="default" w:ascii="Times New Roman" w:hAnsi="Times New Roman" w:eastAsia="方正小标宋简体" w:cs="Times New Roman"/>
          <w:color w:val="000000"/>
          <w:kern w:val="0"/>
          <w:sz w:val="36"/>
          <w:szCs w:val="36"/>
        </w:rPr>
        <w:t>：</w:t>
      </w:r>
      <w:r>
        <w:rPr>
          <w:rFonts w:hint="default" w:ascii="Times New Roman" w:hAnsi="Times New Roman" w:eastAsia="方正小标宋简体" w:cs="Times New Roman"/>
          <w:color w:val="000000"/>
          <w:sz w:val="36"/>
          <w:szCs w:val="36"/>
        </w:rPr>
        <w:t>一般</w:t>
      </w:r>
      <w:r>
        <w:rPr>
          <w:rFonts w:hint="default" w:ascii="Times New Roman" w:hAnsi="Times New Roman" w:eastAsia="方正小标宋简体" w:cs="Times New Roman"/>
          <w:color w:val="000000"/>
          <w:kern w:val="0"/>
          <w:sz w:val="36"/>
          <w:szCs w:val="36"/>
        </w:rPr>
        <w:t>公共预算财政拨</w:t>
      </w:r>
      <w:r>
        <w:rPr>
          <w:rFonts w:hint="default" w:ascii="Times New Roman" w:hAnsi="Times New Roman" w:eastAsia="方正小标宋简体" w:cs="Times New Roman"/>
          <w:kern w:val="0"/>
          <w:sz w:val="36"/>
          <w:szCs w:val="36"/>
        </w:rPr>
        <w:t>款基本支出决算表</w:t>
      </w:r>
    </w:p>
    <w:p>
      <w:pPr>
        <w:ind w:right="330"/>
        <w:jc w:val="right"/>
        <w:rPr>
          <w:rFonts w:hint="default" w:ascii="Times New Roman" w:hAnsi="Times New Roman" w:cs="Times New Roman"/>
          <w:kern w:val="0"/>
          <w:sz w:val="22"/>
          <w:szCs w:val="22"/>
        </w:rPr>
      </w:pPr>
      <w:r>
        <w:rPr>
          <w:rFonts w:hint="eastAsia" w:cs="Times New Roman"/>
          <w:kern w:val="0"/>
          <w:sz w:val="22"/>
          <w:szCs w:val="22"/>
          <w:lang w:val="en-US" w:eastAsia="zh-CN"/>
        </w:rPr>
        <w:t xml:space="preserve">     </w:t>
      </w:r>
      <w:r>
        <w:rPr>
          <w:rFonts w:hint="default" w:ascii="Times New Roman" w:hAnsi="Times New Roman" w:cs="Times New Roman"/>
          <w:kern w:val="0"/>
          <w:sz w:val="22"/>
          <w:szCs w:val="22"/>
        </w:rPr>
        <w:t>单位：万元</w:t>
      </w:r>
    </w:p>
    <w:tbl>
      <w:tblPr>
        <w:tblStyle w:val="5"/>
        <w:tblW w:w="9151" w:type="dxa"/>
        <w:jc w:val="center"/>
        <w:tblLayout w:type="fixed"/>
        <w:tblCellMar>
          <w:top w:w="0" w:type="dxa"/>
          <w:left w:w="108" w:type="dxa"/>
          <w:bottom w:w="0" w:type="dxa"/>
          <w:right w:w="108" w:type="dxa"/>
        </w:tblCellMar>
      </w:tblPr>
      <w:tblGrid>
        <w:gridCol w:w="916"/>
        <w:gridCol w:w="3130"/>
        <w:gridCol w:w="941"/>
        <w:gridCol w:w="849"/>
        <w:gridCol w:w="2224"/>
        <w:gridCol w:w="1091"/>
      </w:tblGrid>
      <w:tr>
        <w:tblPrEx>
          <w:tblCellMar>
            <w:top w:w="0" w:type="dxa"/>
            <w:left w:w="108" w:type="dxa"/>
            <w:bottom w:w="0" w:type="dxa"/>
            <w:right w:w="108" w:type="dxa"/>
          </w:tblCellMar>
        </w:tblPrEx>
        <w:trPr>
          <w:trHeight w:val="564" w:hRule="atLeast"/>
          <w:jc w:val="center"/>
        </w:trPr>
        <w:tc>
          <w:tcPr>
            <w:tcW w:w="498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人员经费</w:t>
            </w:r>
          </w:p>
        </w:tc>
        <w:tc>
          <w:tcPr>
            <w:tcW w:w="4164"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公用经费</w:t>
            </w:r>
          </w:p>
        </w:tc>
      </w:tr>
      <w:tr>
        <w:tblPrEx>
          <w:tblCellMar>
            <w:top w:w="0" w:type="dxa"/>
            <w:left w:w="108" w:type="dxa"/>
            <w:bottom w:w="0" w:type="dxa"/>
            <w:right w:w="108" w:type="dxa"/>
          </w:tblCellMar>
        </w:tblPrEx>
        <w:trPr>
          <w:trHeight w:val="312" w:hRule="atLeast"/>
          <w:jc w:val="center"/>
        </w:trPr>
        <w:tc>
          <w:tcPr>
            <w:tcW w:w="916" w:type="dxa"/>
            <w:tcBorders>
              <w:top w:val="nil"/>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支出经济分类科目编码</w:t>
            </w:r>
          </w:p>
        </w:tc>
        <w:tc>
          <w:tcPr>
            <w:tcW w:w="31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科目名称</w:t>
            </w:r>
          </w:p>
        </w:tc>
        <w:tc>
          <w:tcPr>
            <w:tcW w:w="94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color w:val="000000"/>
                <w:kern w:val="0"/>
                <w:sz w:val="22"/>
                <w:szCs w:val="22"/>
                <w:lang w:eastAsia="zh-CN"/>
              </w:rPr>
            </w:pPr>
            <w:r>
              <w:rPr>
                <w:rFonts w:hint="default" w:ascii="Times New Roman" w:hAnsi="Times New Roman" w:cs="Times New Roman"/>
                <w:color w:val="000000"/>
                <w:kern w:val="0"/>
                <w:sz w:val="22"/>
                <w:szCs w:val="22"/>
                <w:lang w:eastAsia="zh-CN"/>
              </w:rPr>
              <w:t>金额</w:t>
            </w:r>
          </w:p>
        </w:tc>
        <w:tc>
          <w:tcPr>
            <w:tcW w:w="84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经济分类科目编码</w:t>
            </w:r>
          </w:p>
        </w:tc>
        <w:tc>
          <w:tcPr>
            <w:tcW w:w="222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科目名称</w:t>
            </w:r>
          </w:p>
        </w:tc>
        <w:tc>
          <w:tcPr>
            <w:tcW w:w="109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lang w:eastAsia="zh-CN"/>
              </w:rPr>
              <w:t>金额</w:t>
            </w:r>
          </w:p>
        </w:tc>
      </w:tr>
      <w:tr>
        <w:tblPrEx>
          <w:tblCellMar>
            <w:top w:w="0" w:type="dxa"/>
            <w:left w:w="108" w:type="dxa"/>
            <w:bottom w:w="0" w:type="dxa"/>
            <w:right w:w="108" w:type="dxa"/>
          </w:tblCellMar>
        </w:tblPrEx>
        <w:trPr>
          <w:trHeight w:val="264"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工资福利支出</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310.</w:t>
            </w:r>
            <w:r>
              <w:rPr>
                <w:rFonts w:hint="eastAsia" w:cs="Times New Roman"/>
                <w:color w:val="000000"/>
                <w:kern w:val="0"/>
                <w:sz w:val="22"/>
                <w:szCs w:val="22"/>
                <w:lang w:val="en-US" w:eastAsia="zh-CN"/>
              </w:rPr>
              <w:t>25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商品和服务支出</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33.2</w:t>
            </w:r>
            <w:r>
              <w:rPr>
                <w:rFonts w:hint="eastAsia" w:cs="Times New Roman"/>
                <w:color w:val="000000"/>
                <w:kern w:val="0"/>
                <w:sz w:val="22"/>
                <w:szCs w:val="22"/>
                <w:lang w:val="en-US" w:eastAsia="zh-CN"/>
              </w:rPr>
              <w:t>2</w:t>
            </w:r>
          </w:p>
        </w:tc>
      </w:tr>
      <w:tr>
        <w:tblPrEx>
          <w:tblCellMar>
            <w:top w:w="0" w:type="dxa"/>
            <w:left w:w="108" w:type="dxa"/>
            <w:bottom w:w="0" w:type="dxa"/>
            <w:right w:w="108" w:type="dxa"/>
          </w:tblCellMar>
        </w:tblPrEx>
        <w:trPr>
          <w:trHeight w:val="339"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基本工资</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66.7</w:t>
            </w:r>
            <w:r>
              <w:rPr>
                <w:rFonts w:hint="eastAsia" w:cs="Times New Roman"/>
                <w:color w:val="000000"/>
                <w:kern w:val="0"/>
                <w:sz w:val="22"/>
                <w:szCs w:val="22"/>
                <w:lang w:val="en-US" w:eastAsia="zh-CN"/>
              </w:rPr>
              <w:t>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办公费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w:t>
            </w:r>
            <w:r>
              <w:rPr>
                <w:rFonts w:hint="eastAsia" w:cs="Times New Roman"/>
                <w:color w:val="000000"/>
                <w:kern w:val="0"/>
                <w:sz w:val="22"/>
                <w:szCs w:val="22"/>
                <w:lang w:val="en-US" w:eastAsia="zh-CN"/>
              </w:rPr>
              <w:t>69</w:t>
            </w:r>
          </w:p>
        </w:tc>
      </w:tr>
      <w:tr>
        <w:tblPrEx>
          <w:tblCellMar>
            <w:top w:w="0" w:type="dxa"/>
            <w:left w:w="108" w:type="dxa"/>
            <w:bottom w:w="0" w:type="dxa"/>
            <w:right w:w="108" w:type="dxa"/>
          </w:tblCellMar>
        </w:tblPrEx>
        <w:trPr>
          <w:trHeight w:val="352"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津贴补贴</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52.3</w:t>
            </w:r>
            <w:r>
              <w:rPr>
                <w:rFonts w:hint="eastAsia" w:cs="Times New Roman"/>
                <w:color w:val="000000"/>
                <w:kern w:val="0"/>
                <w:sz w:val="22"/>
                <w:szCs w:val="22"/>
                <w:lang w:val="en-US" w:eastAsia="zh-CN"/>
              </w:rPr>
              <w:t>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印刷费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0.4</w:t>
            </w:r>
            <w:r>
              <w:rPr>
                <w:rFonts w:hint="eastAsia" w:cs="Times New Roman"/>
                <w:color w:val="000000"/>
                <w:kern w:val="0"/>
                <w:sz w:val="22"/>
                <w:szCs w:val="22"/>
                <w:lang w:val="en-US" w:eastAsia="zh-CN"/>
              </w:rPr>
              <w:t>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奖金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71.6</w:t>
            </w:r>
            <w:r>
              <w:rPr>
                <w:rFonts w:hint="eastAsia" w:cs="Times New Roman"/>
                <w:color w:val="000000"/>
                <w:kern w:val="0"/>
                <w:sz w:val="22"/>
                <w:szCs w:val="22"/>
                <w:lang w:val="en-US" w:eastAsia="zh-CN"/>
              </w:rPr>
              <w:t>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30203</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咨询费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30106</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伙食补助费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手续费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30107</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绩效工资</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9.3</w:t>
            </w:r>
            <w:r>
              <w:rPr>
                <w:rFonts w:hint="eastAsia" w:cs="Times New Roman"/>
                <w:color w:val="000000"/>
                <w:kern w:val="0"/>
                <w:sz w:val="22"/>
                <w:szCs w:val="22"/>
                <w:lang w:val="en-US" w:eastAsia="zh-CN"/>
              </w:rPr>
              <w:t>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水费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0.1</w:t>
            </w:r>
            <w:r>
              <w:rPr>
                <w:rFonts w:hint="eastAsia" w:cs="Times New Roman"/>
                <w:color w:val="000000"/>
                <w:kern w:val="0"/>
                <w:sz w:val="22"/>
                <w:szCs w:val="22"/>
                <w:lang w:val="en-US" w:eastAsia="zh-CN"/>
              </w:rPr>
              <w:t>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30108</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0"/>
                <w:szCs w:val="20"/>
                <w:lang w:val="en-US" w:eastAsia="zh-CN"/>
              </w:rPr>
              <w:t>机关事业单位基本养老保险缴费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27.6</w:t>
            </w:r>
            <w:r>
              <w:rPr>
                <w:rFonts w:hint="eastAsia" w:cs="Times New Roman"/>
                <w:color w:val="000000"/>
                <w:kern w:val="0"/>
                <w:sz w:val="22"/>
                <w:szCs w:val="22"/>
                <w:lang w:val="en-US" w:eastAsia="zh-CN"/>
              </w:rPr>
              <w:t>5</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电费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eastAsia" w:cs="Times New Roman"/>
                <w:color w:val="000000"/>
                <w:kern w:val="0"/>
                <w:sz w:val="22"/>
                <w:szCs w:val="22"/>
                <w:lang w:val="en-US" w:eastAsia="zh-CN"/>
              </w:rPr>
              <w:t>2.97</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30109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职业年金缴费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w:t>
            </w:r>
            <w:r>
              <w:rPr>
                <w:rFonts w:hint="eastAsia" w:cs="Times New Roman"/>
                <w:color w:val="000000"/>
                <w:kern w:val="0"/>
                <w:sz w:val="22"/>
                <w:szCs w:val="22"/>
                <w:lang w:val="en-US" w:eastAsia="zh-CN"/>
              </w:rPr>
              <w:t>2.97</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邮电费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w:t>
            </w:r>
            <w:r>
              <w:rPr>
                <w:rFonts w:hint="eastAsia" w:cs="Times New Roman"/>
                <w:color w:val="000000"/>
                <w:kern w:val="0"/>
                <w:sz w:val="22"/>
                <w:szCs w:val="22"/>
                <w:lang w:val="en-US" w:eastAsia="zh-CN"/>
              </w:rPr>
              <w:t>28</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30110</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职工基本医疗保险缴费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13.</w:t>
            </w:r>
            <w:r>
              <w:rPr>
                <w:rFonts w:hint="eastAsia" w:cs="Times New Roman"/>
                <w:color w:val="000000"/>
                <w:kern w:val="0"/>
                <w:sz w:val="22"/>
                <w:szCs w:val="22"/>
                <w:lang w:val="en-US" w:eastAsia="zh-CN"/>
              </w:rPr>
              <w:t>07</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取暖费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30111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公务员医疗补助缴费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15.</w:t>
            </w:r>
            <w:r>
              <w:rPr>
                <w:rFonts w:hint="eastAsia" w:cs="Times New Roman"/>
                <w:color w:val="000000"/>
                <w:kern w:val="0"/>
                <w:sz w:val="22"/>
                <w:szCs w:val="22"/>
                <w:lang w:val="en-US" w:eastAsia="zh-CN"/>
              </w:rPr>
              <w:t>37</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30209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物业管理费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r>
              <w:rPr>
                <w:rFonts w:hint="eastAsia" w:cs="Times New Roman"/>
                <w:color w:val="000000"/>
                <w:kern w:val="0"/>
                <w:sz w:val="22"/>
                <w:szCs w:val="22"/>
                <w:lang w:val="en-US" w:eastAsia="zh-CN"/>
              </w:rPr>
              <w:t>29</w:t>
            </w:r>
          </w:p>
        </w:tc>
      </w:tr>
      <w:tr>
        <w:tblPrEx>
          <w:tblCellMar>
            <w:top w:w="0" w:type="dxa"/>
            <w:left w:w="108" w:type="dxa"/>
            <w:bottom w:w="0" w:type="dxa"/>
            <w:right w:w="108" w:type="dxa"/>
          </w:tblCellMar>
        </w:tblPrEx>
        <w:trPr>
          <w:trHeight w:val="90"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30112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其他社会保障缴费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0.3</w:t>
            </w:r>
            <w:r>
              <w:rPr>
                <w:rFonts w:hint="eastAsia" w:cs="Times New Roman"/>
                <w:color w:val="000000"/>
                <w:kern w:val="0"/>
                <w:sz w:val="22"/>
                <w:szCs w:val="22"/>
                <w:lang w:val="en-US" w:eastAsia="zh-CN"/>
              </w:rPr>
              <w:t>3</w:t>
            </w:r>
            <w:bookmarkStart w:id="0" w:name="_GoBack"/>
            <w:bookmarkEnd w:id="0"/>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差旅费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5.</w:t>
            </w:r>
            <w:r>
              <w:rPr>
                <w:rFonts w:hint="eastAsia" w:cs="Times New Roman"/>
                <w:color w:val="000000"/>
                <w:kern w:val="0"/>
                <w:sz w:val="22"/>
                <w:szCs w:val="22"/>
                <w:lang w:val="en-US" w:eastAsia="zh-CN"/>
              </w:rPr>
              <w:t>43</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30113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住房公积金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28</w:t>
            </w:r>
            <w:r>
              <w:rPr>
                <w:rFonts w:hint="eastAsia" w:cs="Times New Roman"/>
                <w:color w:val="000000"/>
                <w:kern w:val="0"/>
                <w:sz w:val="22"/>
                <w:szCs w:val="22"/>
                <w:lang w:val="en-US" w:eastAsia="zh-CN"/>
              </w:rPr>
              <w:t>.02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30212</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因公出国（境）费用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357"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30114</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医疗费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eastAsia" w:cs="Times New Roman"/>
                <w:color w:val="000000"/>
                <w:kern w:val="0"/>
                <w:sz w:val="22"/>
                <w:szCs w:val="22"/>
                <w:lang w:val="en-US" w:eastAsia="zh-CN"/>
              </w:rPr>
              <w:t>0.12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30213</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维修（护）费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r>
              <w:rPr>
                <w:rFonts w:hint="eastAsia" w:cs="Times New Roman"/>
                <w:color w:val="000000"/>
                <w:kern w:val="0"/>
                <w:sz w:val="22"/>
                <w:szCs w:val="22"/>
                <w:lang w:val="en-US" w:eastAsia="zh-CN"/>
              </w:rPr>
              <w:t>16</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30199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其他工资福利支出</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12.7</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租赁费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对个人和家庭的补助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11.7</w:t>
            </w:r>
            <w:r>
              <w:rPr>
                <w:rFonts w:hint="eastAsia" w:cs="Times New Roman"/>
                <w:color w:val="000000"/>
                <w:kern w:val="0"/>
                <w:sz w:val="22"/>
                <w:szCs w:val="22"/>
                <w:lang w:val="en-US" w:eastAsia="zh-CN"/>
              </w:rPr>
              <w:t>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会议费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0.2</w:t>
            </w:r>
            <w:r>
              <w:rPr>
                <w:rFonts w:hint="eastAsia" w:cs="Times New Roman"/>
                <w:color w:val="000000"/>
                <w:kern w:val="0"/>
                <w:sz w:val="22"/>
                <w:szCs w:val="22"/>
                <w:lang w:val="en-US" w:eastAsia="zh-CN"/>
              </w:rPr>
              <w:t>4</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离休费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培训费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r>
              <w:rPr>
                <w:rFonts w:hint="eastAsia" w:cs="Times New Roman"/>
                <w:color w:val="000000"/>
                <w:kern w:val="0"/>
                <w:sz w:val="22"/>
                <w:szCs w:val="22"/>
                <w:lang w:val="en-US" w:eastAsia="zh-CN"/>
              </w:rPr>
              <w:t>36</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30302</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退休费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11.7</w:t>
            </w:r>
            <w:r>
              <w:rPr>
                <w:rFonts w:hint="eastAsia" w:cs="Times New Roman"/>
                <w:color w:val="000000"/>
                <w:kern w:val="0"/>
                <w:sz w:val="22"/>
                <w:szCs w:val="22"/>
                <w:lang w:val="en-US" w:eastAsia="zh-CN"/>
              </w:rPr>
              <w:t>2</w:t>
            </w: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公务接待费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w:t>
            </w:r>
            <w:r>
              <w:rPr>
                <w:rFonts w:hint="eastAsia" w:cs="Times New Roman"/>
                <w:color w:val="000000"/>
                <w:kern w:val="0"/>
                <w:sz w:val="22"/>
                <w:szCs w:val="22"/>
                <w:lang w:val="en-US" w:eastAsia="zh-CN"/>
              </w:rPr>
              <w:t>48</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30303</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退职（役）费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30218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专用材料费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30304</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抚恤金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30224</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被装购置费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30305</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生活补助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30225</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专用燃料费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30306</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救济费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30226</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劳务费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0.2</w:t>
            </w:r>
            <w:r>
              <w:rPr>
                <w:rFonts w:hint="eastAsia" w:cs="Times New Roman"/>
                <w:color w:val="000000"/>
                <w:kern w:val="0"/>
                <w:sz w:val="22"/>
                <w:szCs w:val="22"/>
                <w:lang w:val="en-US" w:eastAsia="zh-CN"/>
              </w:rPr>
              <w:t>1</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30307</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医疗费补助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30227</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委托业务费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30308</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助学金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30228</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工会经费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4.6</w:t>
            </w: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30309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奖励金</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30229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福利费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30310</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个人农业生产补贴</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30231</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公务用车运行维护费</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30311</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代缴社会保险费</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30239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其他交通费用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30399</w:t>
            </w: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rPr>
              <w:t>其他对个人和家庭的补助</w:t>
            </w: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30240</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税金及附加费用</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r>
      <w:tr>
        <w:tblPrEx>
          <w:tblCellMar>
            <w:top w:w="0" w:type="dxa"/>
            <w:left w:w="108" w:type="dxa"/>
            <w:bottom w:w="0" w:type="dxa"/>
            <w:right w:w="108" w:type="dxa"/>
          </w:tblCellMar>
        </w:tblPrEx>
        <w:trPr>
          <w:trHeight w:val="276" w:hRule="atLeast"/>
          <w:jc w:val="center"/>
        </w:trPr>
        <w:tc>
          <w:tcPr>
            <w:tcW w:w="916" w:type="dxa"/>
            <w:tcBorders>
              <w:top w:val="nil"/>
              <w:left w:val="single" w:color="auto" w:sz="4" w:space="0"/>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p>
        </w:tc>
        <w:tc>
          <w:tcPr>
            <w:tcW w:w="3130"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p>
        </w:tc>
        <w:tc>
          <w:tcPr>
            <w:tcW w:w="94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p>
        </w:tc>
        <w:tc>
          <w:tcPr>
            <w:tcW w:w="849"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30299</w:t>
            </w:r>
          </w:p>
        </w:tc>
        <w:tc>
          <w:tcPr>
            <w:tcW w:w="2224" w:type="dxa"/>
            <w:tcBorders>
              <w:top w:val="nil"/>
              <w:left w:val="nil"/>
              <w:bottom w:val="single" w:color="auto" w:sz="4" w:space="0"/>
              <w:right w:val="single" w:color="auto" w:sz="4" w:space="0"/>
            </w:tcBorders>
            <w:vAlign w:val="center"/>
          </w:tcPr>
          <w:p>
            <w:pPr>
              <w:widowControl/>
              <w:jc w:val="both"/>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lang w:val="en-US" w:eastAsia="zh-CN"/>
              </w:rPr>
              <w:t>其他商品和服务支出</w:t>
            </w:r>
          </w:p>
        </w:tc>
        <w:tc>
          <w:tcPr>
            <w:tcW w:w="1091" w:type="dxa"/>
            <w:tcBorders>
              <w:top w:val="nil"/>
              <w:left w:val="nil"/>
              <w:bottom w:val="single" w:color="auto" w:sz="4" w:space="0"/>
              <w:right w:val="single" w:color="auto" w:sz="4" w:space="0"/>
            </w:tcBorders>
            <w:vAlign w:val="bottom"/>
          </w:tcPr>
          <w:p>
            <w:pPr>
              <w:widowControl/>
              <w:jc w:val="center"/>
              <w:rPr>
                <w:rFonts w:hint="default" w:ascii="Times New Roman" w:hAnsi="Times New Roman" w:cs="Times New Roman"/>
                <w:color w:val="000000"/>
                <w:kern w:val="0"/>
                <w:sz w:val="22"/>
                <w:szCs w:val="22"/>
                <w:lang w:val="en-US" w:eastAsia="zh-CN"/>
              </w:rPr>
            </w:pPr>
            <w:r>
              <w:rPr>
                <w:rFonts w:hint="eastAsia" w:cs="Times New Roman"/>
                <w:color w:val="000000"/>
                <w:kern w:val="0"/>
                <w:sz w:val="22"/>
                <w:szCs w:val="22"/>
                <w:lang w:val="en-US" w:eastAsia="zh-CN"/>
              </w:rPr>
              <w:t>9.97</w:t>
            </w:r>
          </w:p>
        </w:tc>
      </w:tr>
      <w:tr>
        <w:tblPrEx>
          <w:tblCellMar>
            <w:top w:w="0" w:type="dxa"/>
            <w:left w:w="108" w:type="dxa"/>
            <w:bottom w:w="0" w:type="dxa"/>
            <w:right w:w="108" w:type="dxa"/>
          </w:tblCellMar>
        </w:tblPrEx>
        <w:trPr>
          <w:trHeight w:val="266" w:hRule="atLeast"/>
          <w:jc w:val="center"/>
        </w:trPr>
        <w:tc>
          <w:tcPr>
            <w:tcW w:w="4046"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eastAsia="zh-CN"/>
              </w:rPr>
              <w:t>人员经费合计</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bidi="ar-SA"/>
              </w:rPr>
              <w:t>32</w:t>
            </w:r>
            <w:r>
              <w:rPr>
                <w:rFonts w:hint="eastAsia" w:cs="Times New Roman"/>
                <w:color w:val="000000"/>
                <w:kern w:val="0"/>
                <w:sz w:val="22"/>
                <w:szCs w:val="22"/>
                <w:lang w:val="en-US" w:eastAsia="zh-CN" w:bidi="ar-SA"/>
              </w:rPr>
              <w:t>1.97</w:t>
            </w:r>
          </w:p>
        </w:tc>
        <w:tc>
          <w:tcPr>
            <w:tcW w:w="3073" w:type="dxa"/>
            <w:gridSpan w:val="2"/>
            <w:tcBorders>
              <w:top w:val="single" w:color="auto" w:sz="4" w:space="0"/>
              <w:left w:val="single" w:color="auto" w:sz="4" w:space="0"/>
              <w:bottom w:val="single" w:color="auto" w:sz="4" w:space="0"/>
              <w:right w:val="single" w:color="auto" w:sz="4" w:space="0"/>
            </w:tcBorders>
            <w:vAlign w:val="center"/>
          </w:tcPr>
          <w:p>
            <w:pPr>
              <w:widowControl/>
              <w:jc w:val="both"/>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eastAsia="zh-CN"/>
              </w:rPr>
              <w:t>公用经费合计</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color w:val="000000"/>
                <w:kern w:val="0"/>
                <w:sz w:val="22"/>
                <w:szCs w:val="22"/>
                <w:lang w:val="en-US" w:eastAsia="zh-CN" w:bidi="ar-SA"/>
              </w:rPr>
            </w:pPr>
            <w:r>
              <w:rPr>
                <w:rFonts w:hint="default" w:ascii="Times New Roman" w:hAnsi="Times New Roman" w:cs="Times New Roman"/>
                <w:color w:val="000000"/>
                <w:kern w:val="0"/>
                <w:sz w:val="22"/>
                <w:szCs w:val="22"/>
                <w:lang w:val="en-US" w:eastAsia="zh-CN" w:bidi="ar-SA"/>
              </w:rPr>
              <w:t>33.2</w:t>
            </w:r>
            <w:r>
              <w:rPr>
                <w:rFonts w:hint="eastAsia" w:cs="Times New Roman"/>
                <w:color w:val="000000"/>
                <w:kern w:val="0"/>
                <w:sz w:val="22"/>
                <w:szCs w:val="22"/>
                <w:lang w:val="en-US" w:eastAsia="zh-CN" w:bidi="ar-SA"/>
              </w:rPr>
              <w:t>2</w:t>
            </w:r>
          </w:p>
        </w:tc>
      </w:tr>
    </w:tbl>
    <w:p>
      <w:pPr>
        <w:rPr>
          <w:rFonts w:hint="default" w:ascii="Times New Roman" w:hAnsi="Times New Roman" w:cs="Times New Roman"/>
        </w:rPr>
      </w:pPr>
    </w:p>
    <w:p>
      <w:pPr>
        <w:rPr>
          <w:rFonts w:hint="default" w:ascii="Times New Roman" w:hAnsi="Times New Roman" w:cs="Times New Roman"/>
        </w:rPr>
        <w:sectPr>
          <w:pgSz w:w="11906" w:h="16838"/>
          <w:pgMar w:top="1440" w:right="1797" w:bottom="1440" w:left="1797" w:header="851" w:footer="992" w:gutter="0"/>
          <w:pgNumType w:fmt="decimal"/>
          <w:cols w:space="720" w:num="1"/>
          <w:docGrid w:type="lines" w:linePitch="312" w:charSpace="0"/>
        </w:sectPr>
      </w:pPr>
      <w:r>
        <w:rPr>
          <w:rFonts w:hint="default" w:ascii="Times New Roman" w:hAnsi="Times New Roman" w:cs="Times New Roman"/>
        </w:rPr>
        <w:t>注：本表反映部门本年度一般公共预算财政拨款基本支出明细情况。</w:t>
      </w:r>
    </w:p>
    <w:p>
      <w:pPr>
        <w:jc w:val="center"/>
        <w:rPr>
          <w:rFonts w:hint="default" w:ascii="Times New Roman" w:hAnsi="Times New Roman" w:eastAsia="方正小标宋简体" w:cs="Times New Roman"/>
          <w:kern w:val="0"/>
          <w:sz w:val="36"/>
          <w:szCs w:val="36"/>
        </w:rPr>
      </w:pPr>
    </w:p>
    <w:p>
      <w:pPr>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表七：</w:t>
      </w:r>
      <w:r>
        <w:rPr>
          <w:rFonts w:hint="default" w:ascii="Times New Roman" w:hAnsi="Times New Roman" w:eastAsia="方正小标宋简体" w:cs="Times New Roman"/>
          <w:sz w:val="36"/>
          <w:szCs w:val="36"/>
        </w:rPr>
        <w:t>一般</w:t>
      </w:r>
      <w:r>
        <w:rPr>
          <w:rFonts w:hint="default" w:ascii="Times New Roman" w:hAnsi="Times New Roman" w:eastAsia="方正小标宋简体" w:cs="Times New Roman"/>
          <w:kern w:val="0"/>
          <w:sz w:val="36"/>
          <w:szCs w:val="36"/>
        </w:rPr>
        <w:t>公共预算财政拨款安排的“三公”经费支出决算表</w:t>
      </w:r>
    </w:p>
    <w:p>
      <w:pPr>
        <w:rPr>
          <w:rFonts w:hint="default" w:ascii="Times New Roman" w:hAnsi="Times New Roman" w:cs="Times New Roman"/>
        </w:rPr>
      </w:pPr>
    </w:p>
    <w:p>
      <w:pPr>
        <w:jc w:val="right"/>
        <w:rPr>
          <w:rFonts w:hint="default" w:ascii="Times New Roman" w:hAnsi="Times New Roman" w:cs="Times New Roman"/>
        </w:rPr>
      </w:pPr>
      <w:r>
        <w:rPr>
          <w:rFonts w:hint="default" w:ascii="Times New Roman" w:hAnsi="Times New Roman" w:cs="Times New Roman"/>
        </w:rPr>
        <w:t>单位：万元</w:t>
      </w:r>
    </w:p>
    <w:tbl>
      <w:tblPr>
        <w:tblStyle w:val="5"/>
        <w:tblW w:w="13921" w:type="dxa"/>
        <w:jc w:val="center"/>
        <w:tblLayout w:type="fixed"/>
        <w:tblCellMar>
          <w:top w:w="0" w:type="dxa"/>
          <w:left w:w="108" w:type="dxa"/>
          <w:bottom w:w="0" w:type="dxa"/>
          <w:right w:w="108" w:type="dxa"/>
        </w:tblCellMar>
      </w:tblPr>
      <w:tblGrid>
        <w:gridCol w:w="829"/>
        <w:gridCol w:w="1603"/>
        <w:gridCol w:w="828"/>
        <w:gridCol w:w="1242"/>
        <w:gridCol w:w="1242"/>
        <w:gridCol w:w="1216"/>
        <w:gridCol w:w="806"/>
        <w:gridCol w:w="1560"/>
        <w:gridCol w:w="806"/>
        <w:gridCol w:w="1398"/>
        <w:gridCol w:w="1208"/>
        <w:gridCol w:w="1183"/>
      </w:tblGrid>
      <w:tr>
        <w:tblPrEx>
          <w:tblCellMar>
            <w:top w:w="0" w:type="dxa"/>
            <w:left w:w="108" w:type="dxa"/>
            <w:bottom w:w="0" w:type="dxa"/>
            <w:right w:w="108" w:type="dxa"/>
          </w:tblCellMar>
        </w:tblPrEx>
        <w:trPr>
          <w:trHeight w:val="540" w:hRule="atLeast"/>
          <w:jc w:val="center"/>
        </w:trPr>
        <w:tc>
          <w:tcPr>
            <w:tcW w:w="69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2020年度预算数</w:t>
            </w:r>
          </w:p>
        </w:tc>
        <w:tc>
          <w:tcPr>
            <w:tcW w:w="6961" w:type="dxa"/>
            <w:gridSpan w:val="6"/>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2020年度决算数</w:t>
            </w:r>
          </w:p>
        </w:tc>
      </w:tr>
      <w:tr>
        <w:tblPrEx>
          <w:tblCellMar>
            <w:top w:w="0" w:type="dxa"/>
            <w:left w:w="108" w:type="dxa"/>
            <w:bottom w:w="0" w:type="dxa"/>
            <w:right w:w="108" w:type="dxa"/>
          </w:tblCellMar>
        </w:tblPrEx>
        <w:trPr>
          <w:trHeight w:val="396" w:hRule="atLeast"/>
          <w:jc w:val="center"/>
        </w:trPr>
        <w:tc>
          <w:tcPr>
            <w:tcW w:w="829"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603"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因公出国(境）费</w:t>
            </w:r>
          </w:p>
        </w:tc>
        <w:tc>
          <w:tcPr>
            <w:tcW w:w="331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公务用车购置及运行费</w:t>
            </w:r>
          </w:p>
        </w:tc>
        <w:tc>
          <w:tcPr>
            <w:tcW w:w="1216"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公务接待费</w:t>
            </w:r>
          </w:p>
        </w:tc>
        <w:tc>
          <w:tcPr>
            <w:tcW w:w="806"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合计</w:t>
            </w:r>
          </w:p>
        </w:tc>
        <w:tc>
          <w:tcPr>
            <w:tcW w:w="1560"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因公出国(境）费</w:t>
            </w:r>
          </w:p>
        </w:tc>
        <w:tc>
          <w:tcPr>
            <w:tcW w:w="3412"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公务用车购置及运行费</w:t>
            </w:r>
          </w:p>
        </w:tc>
        <w:tc>
          <w:tcPr>
            <w:tcW w:w="1183" w:type="dxa"/>
            <w:vMerge w:val="restart"/>
            <w:tcBorders>
              <w:top w:val="nil"/>
              <w:left w:val="nil"/>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公务接待费</w:t>
            </w:r>
          </w:p>
        </w:tc>
      </w:tr>
      <w:tr>
        <w:tblPrEx>
          <w:tblCellMar>
            <w:top w:w="0" w:type="dxa"/>
            <w:left w:w="108" w:type="dxa"/>
            <w:bottom w:w="0" w:type="dxa"/>
            <w:right w:w="108" w:type="dxa"/>
          </w:tblCellMar>
        </w:tblPrEx>
        <w:trPr>
          <w:trHeight w:val="576" w:hRule="atLeast"/>
          <w:jc w:val="center"/>
        </w:trPr>
        <w:tc>
          <w:tcPr>
            <w:tcW w:w="829"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60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2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小计</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购置费</w:t>
            </w:r>
          </w:p>
        </w:tc>
        <w:tc>
          <w:tcPr>
            <w:tcW w:w="1242"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运行费</w:t>
            </w:r>
          </w:p>
        </w:tc>
        <w:tc>
          <w:tcPr>
            <w:tcW w:w="1216"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06"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560"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c>
          <w:tcPr>
            <w:tcW w:w="806"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小计</w:t>
            </w:r>
          </w:p>
        </w:tc>
        <w:tc>
          <w:tcPr>
            <w:tcW w:w="139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购置费</w:t>
            </w:r>
          </w:p>
        </w:tc>
        <w:tc>
          <w:tcPr>
            <w:tcW w:w="1208"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kern w:val="0"/>
                <w:sz w:val="22"/>
                <w:szCs w:val="22"/>
              </w:rPr>
              <w:t>公务用车 运行费</w:t>
            </w:r>
          </w:p>
        </w:tc>
        <w:tc>
          <w:tcPr>
            <w:tcW w:w="1183" w:type="dxa"/>
            <w:vMerge w:val="continue"/>
            <w:tcBorders>
              <w:left w:val="nil"/>
              <w:bottom w:val="single" w:color="auto" w:sz="4" w:space="0"/>
              <w:right w:val="single" w:color="auto" w:sz="4" w:space="0"/>
            </w:tcBorders>
            <w:vAlign w:val="center"/>
          </w:tcPr>
          <w:p>
            <w:pPr>
              <w:widowControl/>
              <w:jc w:val="center"/>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600" w:hRule="atLeast"/>
          <w:jc w:val="center"/>
        </w:trPr>
        <w:tc>
          <w:tcPr>
            <w:tcW w:w="829" w:type="dxa"/>
            <w:tcBorders>
              <w:top w:val="nil"/>
              <w:left w:val="single" w:color="auto" w:sz="4" w:space="0"/>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w:t>
            </w:r>
          </w:p>
        </w:tc>
        <w:tc>
          <w:tcPr>
            <w:tcW w:w="160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2</w:t>
            </w:r>
          </w:p>
        </w:tc>
        <w:tc>
          <w:tcPr>
            <w:tcW w:w="82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3</w:t>
            </w: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4</w:t>
            </w:r>
          </w:p>
        </w:tc>
        <w:tc>
          <w:tcPr>
            <w:tcW w:w="1242"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5</w:t>
            </w:r>
          </w:p>
        </w:tc>
        <w:tc>
          <w:tcPr>
            <w:tcW w:w="121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6</w:t>
            </w:r>
          </w:p>
        </w:tc>
        <w:tc>
          <w:tcPr>
            <w:tcW w:w="80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7</w:t>
            </w:r>
          </w:p>
        </w:tc>
        <w:tc>
          <w:tcPr>
            <w:tcW w:w="1560"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8</w:t>
            </w:r>
          </w:p>
        </w:tc>
        <w:tc>
          <w:tcPr>
            <w:tcW w:w="806"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9</w:t>
            </w:r>
          </w:p>
        </w:tc>
        <w:tc>
          <w:tcPr>
            <w:tcW w:w="139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10</w:t>
            </w:r>
          </w:p>
        </w:tc>
        <w:tc>
          <w:tcPr>
            <w:tcW w:w="1208"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11</w:t>
            </w:r>
          </w:p>
        </w:tc>
        <w:tc>
          <w:tcPr>
            <w:tcW w:w="1183" w:type="dxa"/>
            <w:tcBorders>
              <w:top w:val="nil"/>
              <w:left w:val="nil"/>
              <w:bottom w:val="single" w:color="auto" w:sz="4" w:space="0"/>
              <w:right w:val="single" w:color="auto" w:sz="4" w:space="0"/>
            </w:tcBorders>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12</w:t>
            </w:r>
          </w:p>
        </w:tc>
      </w:tr>
      <w:tr>
        <w:tblPrEx>
          <w:tblCellMar>
            <w:top w:w="0" w:type="dxa"/>
            <w:left w:w="108" w:type="dxa"/>
            <w:bottom w:w="0" w:type="dxa"/>
            <w:right w:w="108" w:type="dxa"/>
          </w:tblCellMar>
        </w:tblPrEx>
        <w:trPr>
          <w:trHeight w:val="564" w:hRule="atLeast"/>
          <w:jc w:val="center"/>
        </w:trPr>
        <w:tc>
          <w:tcPr>
            <w:tcW w:w="829" w:type="dxa"/>
            <w:tcBorders>
              <w:top w:val="nil"/>
              <w:left w:val="single" w:color="auto" w:sz="4" w:space="0"/>
              <w:bottom w:val="single" w:color="auto" w:sz="4" w:space="0"/>
              <w:right w:val="single" w:color="auto" w:sz="4" w:space="0"/>
            </w:tcBorders>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1.93</w:t>
            </w:r>
            <w:r>
              <w:rPr>
                <w:rFonts w:hint="default" w:ascii="Times New Roman" w:hAnsi="Times New Roman" w:cs="Times New Roman"/>
                <w:color w:val="000000"/>
                <w:kern w:val="0"/>
                <w:sz w:val="20"/>
                <w:szCs w:val="20"/>
              </w:rPr>
              <w:t>　</w:t>
            </w:r>
          </w:p>
        </w:tc>
        <w:tc>
          <w:tcPr>
            <w:tcW w:w="1603" w:type="dxa"/>
            <w:tcBorders>
              <w:top w:val="nil"/>
              <w:left w:val="nil"/>
              <w:bottom w:val="single" w:color="auto" w:sz="4" w:space="0"/>
              <w:right w:val="single" w:color="auto" w:sz="4" w:space="0"/>
            </w:tcBorders>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828" w:type="dxa"/>
            <w:tcBorders>
              <w:top w:val="nil"/>
              <w:left w:val="nil"/>
              <w:bottom w:val="single" w:color="auto" w:sz="4" w:space="0"/>
              <w:right w:val="single" w:color="auto" w:sz="4" w:space="0"/>
            </w:tcBorders>
          </w:tcPr>
          <w:p>
            <w:pPr>
              <w:widowControl/>
              <w:ind w:firstLine="200" w:firstLineChars="100"/>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242" w:type="dxa"/>
            <w:tcBorders>
              <w:top w:val="nil"/>
              <w:left w:val="nil"/>
              <w:bottom w:val="single" w:color="auto" w:sz="4" w:space="0"/>
              <w:right w:val="single" w:color="auto" w:sz="4" w:space="0"/>
            </w:tcBorders>
          </w:tcPr>
          <w:p>
            <w:pPr>
              <w:widowControl/>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216" w:type="dxa"/>
            <w:tcBorders>
              <w:top w:val="nil"/>
              <w:left w:val="nil"/>
              <w:bottom w:val="single" w:color="auto" w:sz="4" w:space="0"/>
              <w:right w:val="single" w:color="auto" w:sz="4" w:space="0"/>
            </w:tcBorders>
          </w:tcPr>
          <w:p>
            <w:pPr>
              <w:widowControl/>
              <w:ind w:firstLine="200" w:firstLineChars="100"/>
              <w:jc w:val="both"/>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1.93</w:t>
            </w:r>
          </w:p>
        </w:tc>
        <w:tc>
          <w:tcPr>
            <w:tcW w:w="806" w:type="dxa"/>
            <w:tcBorders>
              <w:top w:val="nil"/>
              <w:left w:val="nil"/>
              <w:bottom w:val="single" w:color="auto" w:sz="4" w:space="0"/>
              <w:right w:val="single" w:color="auto" w:sz="4" w:space="0"/>
            </w:tcBorders>
          </w:tcPr>
          <w:p>
            <w:pPr>
              <w:widowControl/>
              <w:ind w:firstLine="200" w:firstLineChars="100"/>
              <w:jc w:val="both"/>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val="en-US" w:eastAsia="zh-CN"/>
              </w:rPr>
              <w:t>0.71</w:t>
            </w:r>
          </w:p>
        </w:tc>
        <w:tc>
          <w:tcPr>
            <w:tcW w:w="1560" w:type="dxa"/>
            <w:tcBorders>
              <w:top w:val="nil"/>
              <w:left w:val="nil"/>
              <w:bottom w:val="single" w:color="auto" w:sz="4" w:space="0"/>
              <w:right w:val="single" w:color="auto" w:sz="4" w:space="0"/>
            </w:tcBorders>
          </w:tcPr>
          <w:p>
            <w:pPr>
              <w:widowControl/>
              <w:ind w:firstLine="200" w:firstLineChars="100"/>
              <w:jc w:val="both"/>
              <w:rPr>
                <w:rFonts w:hint="default" w:ascii="Times New Roman" w:hAnsi="Times New Roman" w:cs="Times New Roman"/>
                <w:color w:val="000000"/>
                <w:kern w:val="0"/>
                <w:sz w:val="20"/>
                <w:szCs w:val="20"/>
              </w:rPr>
            </w:pPr>
          </w:p>
        </w:tc>
        <w:tc>
          <w:tcPr>
            <w:tcW w:w="806" w:type="dxa"/>
            <w:tcBorders>
              <w:top w:val="nil"/>
              <w:left w:val="nil"/>
              <w:bottom w:val="single" w:color="auto" w:sz="4" w:space="0"/>
              <w:right w:val="single" w:color="auto" w:sz="4" w:space="0"/>
            </w:tcBorders>
          </w:tcPr>
          <w:p>
            <w:pPr>
              <w:widowControl/>
              <w:ind w:firstLine="200" w:firstLineChars="100"/>
              <w:jc w:val="both"/>
              <w:rPr>
                <w:rFonts w:hint="default" w:ascii="Times New Roman" w:hAnsi="Times New Roman" w:cs="Times New Roman"/>
                <w:color w:val="000000"/>
                <w:kern w:val="0"/>
                <w:sz w:val="20"/>
                <w:szCs w:val="20"/>
              </w:rPr>
            </w:pPr>
          </w:p>
        </w:tc>
        <w:tc>
          <w:tcPr>
            <w:tcW w:w="1398" w:type="dxa"/>
            <w:tcBorders>
              <w:top w:val="nil"/>
              <w:left w:val="nil"/>
              <w:bottom w:val="single" w:color="auto" w:sz="4" w:space="0"/>
              <w:right w:val="single" w:color="auto" w:sz="4" w:space="0"/>
            </w:tcBorders>
          </w:tcPr>
          <w:p>
            <w:pPr>
              <w:widowControl/>
              <w:ind w:firstLine="400" w:firstLineChars="200"/>
              <w:jc w:val="both"/>
              <w:rPr>
                <w:rFonts w:hint="default" w:ascii="Times New Roman" w:hAnsi="Times New Roman" w:cs="Times New Roman"/>
                <w:color w:val="000000"/>
                <w:kern w:val="0"/>
                <w:sz w:val="20"/>
                <w:szCs w:val="20"/>
              </w:rPr>
            </w:pPr>
          </w:p>
        </w:tc>
        <w:tc>
          <w:tcPr>
            <w:tcW w:w="1208" w:type="dxa"/>
            <w:tcBorders>
              <w:top w:val="nil"/>
              <w:left w:val="nil"/>
              <w:bottom w:val="single" w:color="auto" w:sz="4" w:space="0"/>
              <w:right w:val="single" w:color="auto" w:sz="4" w:space="0"/>
            </w:tcBorders>
          </w:tcPr>
          <w:p>
            <w:pPr>
              <w:widowControl/>
              <w:jc w:val="both"/>
              <w:rPr>
                <w:rFonts w:hint="default" w:ascii="Times New Roman" w:hAnsi="Times New Roman" w:cs="Times New Roman"/>
                <w:color w:val="000000"/>
                <w:kern w:val="0"/>
                <w:sz w:val="20"/>
                <w:szCs w:val="20"/>
              </w:rPr>
            </w:pPr>
          </w:p>
        </w:tc>
        <w:tc>
          <w:tcPr>
            <w:tcW w:w="1183" w:type="dxa"/>
            <w:tcBorders>
              <w:top w:val="nil"/>
              <w:left w:val="nil"/>
              <w:bottom w:val="single" w:color="auto" w:sz="4" w:space="0"/>
              <w:right w:val="single" w:color="auto" w:sz="4" w:space="0"/>
            </w:tcBorders>
          </w:tcPr>
          <w:p>
            <w:pPr>
              <w:widowControl/>
              <w:ind w:firstLine="200" w:firstLineChars="100"/>
              <w:jc w:val="both"/>
              <w:rPr>
                <w:rFonts w:hint="default" w:ascii="Times New Roman" w:hAnsi="Times New Roman" w:eastAsia="宋体" w:cs="Times New Roman"/>
                <w:color w:val="000000"/>
                <w:kern w:val="0"/>
                <w:sz w:val="20"/>
                <w:szCs w:val="20"/>
                <w:lang w:val="en-US" w:eastAsia="zh-CN"/>
              </w:rPr>
            </w:pPr>
            <w:r>
              <w:rPr>
                <w:rFonts w:hint="default" w:ascii="Times New Roman" w:hAnsi="Times New Roman" w:cs="Times New Roman"/>
                <w:color w:val="000000"/>
                <w:kern w:val="0"/>
                <w:sz w:val="20"/>
                <w:szCs w:val="20"/>
                <w:lang w:val="en-US" w:eastAsia="zh-CN"/>
              </w:rPr>
              <w:t>0.71</w:t>
            </w:r>
          </w:p>
        </w:tc>
      </w:tr>
    </w:tbl>
    <w:p>
      <w:pPr>
        <w:rPr>
          <w:rFonts w:hint="default" w:ascii="Times New Roman" w:hAnsi="Times New Roman" w:cs="Times New Roman"/>
        </w:rPr>
        <w:sectPr>
          <w:pgSz w:w="16838" w:h="11906" w:orient="landscape"/>
          <w:pgMar w:top="1797" w:right="1440" w:bottom="1797" w:left="1440" w:header="851" w:footer="992" w:gutter="0"/>
          <w:pgNumType w:fmt="decimal"/>
          <w:cols w:space="720" w:num="1"/>
          <w:docGrid w:type="lines" w:linePitch="312" w:charSpace="0"/>
        </w:sectPr>
      </w:pPr>
      <w:r>
        <w:rPr>
          <w:rFonts w:hint="default" w:ascii="Times New Roman" w:hAnsi="Times New Roman" w:cs="Times New Roman"/>
        </w:rPr>
        <w:t>注：本表反映部门本年度“三公”经费支出预决算情况。其中，2020年度预算数为“三公”经费年初预算数，决算数是包括当年一般公共预算财政拨款和以前年度结转资金安排的实际支出。</w:t>
      </w:r>
    </w:p>
    <w:p>
      <w:pPr>
        <w:rPr>
          <w:rFonts w:hint="default" w:ascii="Times New Roman" w:hAnsi="Times New Roman" w:cs="Times New Roman"/>
        </w:rPr>
      </w:pPr>
    </w:p>
    <w:p>
      <w:pPr>
        <w:rPr>
          <w:rFonts w:hint="default" w:ascii="Times New Roman" w:hAnsi="Times New Roman" w:cs="Times New Roman"/>
        </w:rPr>
      </w:pPr>
    </w:p>
    <w:tbl>
      <w:tblPr>
        <w:tblStyle w:val="5"/>
        <w:tblW w:w="12480" w:type="dxa"/>
        <w:jc w:val="center"/>
        <w:tblLayout w:type="fixed"/>
        <w:tblCellMar>
          <w:top w:w="0" w:type="dxa"/>
          <w:left w:w="108" w:type="dxa"/>
          <w:bottom w:w="0" w:type="dxa"/>
          <w:right w:w="108" w:type="dxa"/>
        </w:tblCellMar>
      </w:tblPr>
      <w:tblGrid>
        <w:gridCol w:w="1040"/>
        <w:gridCol w:w="1385"/>
        <w:gridCol w:w="765"/>
        <w:gridCol w:w="1040"/>
        <w:gridCol w:w="1040"/>
        <w:gridCol w:w="1040"/>
        <w:gridCol w:w="1040"/>
        <w:gridCol w:w="1040"/>
        <w:gridCol w:w="1040"/>
        <w:gridCol w:w="1040"/>
        <w:gridCol w:w="1020"/>
        <w:gridCol w:w="990"/>
      </w:tblGrid>
      <w:tr>
        <w:tblPrEx>
          <w:tblCellMar>
            <w:top w:w="0" w:type="dxa"/>
            <w:left w:w="108" w:type="dxa"/>
            <w:bottom w:w="0" w:type="dxa"/>
            <w:right w:w="108" w:type="dxa"/>
          </w:tblCellMar>
        </w:tblPrEx>
        <w:trPr>
          <w:trHeight w:val="570" w:hRule="atLeast"/>
          <w:jc w:val="center"/>
        </w:trPr>
        <w:tc>
          <w:tcPr>
            <w:tcW w:w="12480" w:type="dxa"/>
            <w:gridSpan w:val="12"/>
            <w:tcBorders>
              <w:top w:val="nil"/>
              <w:left w:val="nil"/>
              <w:bottom w:val="nil"/>
              <w:right w:val="nil"/>
            </w:tcBorders>
            <w:vAlign w:val="bottom"/>
          </w:tcPr>
          <w:p>
            <w:pPr>
              <w:widowControl/>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表八：政府性基金预算财政拨款收入支出决算表</w:t>
            </w:r>
          </w:p>
        </w:tc>
      </w:tr>
      <w:tr>
        <w:tblPrEx>
          <w:tblCellMar>
            <w:top w:w="0" w:type="dxa"/>
            <w:left w:w="108" w:type="dxa"/>
            <w:bottom w:w="0" w:type="dxa"/>
            <w:right w:w="108" w:type="dxa"/>
          </w:tblCellMar>
        </w:tblPrEx>
        <w:trPr>
          <w:trHeight w:val="285" w:hRule="atLeast"/>
          <w:jc w:val="center"/>
        </w:trPr>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385"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765"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1040" w:type="dxa"/>
            <w:tcBorders>
              <w:top w:val="nil"/>
              <w:left w:val="nil"/>
              <w:bottom w:val="nil"/>
              <w:right w:val="nil"/>
            </w:tcBorders>
            <w:vAlign w:val="bottom"/>
          </w:tcPr>
          <w:p>
            <w:pPr>
              <w:widowControl/>
              <w:jc w:val="left"/>
              <w:rPr>
                <w:rFonts w:hint="default" w:ascii="Times New Roman" w:hAnsi="Times New Roman" w:cs="Times New Roman"/>
                <w:kern w:val="0"/>
                <w:sz w:val="24"/>
              </w:rPr>
            </w:pPr>
          </w:p>
        </w:tc>
        <w:tc>
          <w:tcPr>
            <w:tcW w:w="2010" w:type="dxa"/>
            <w:gridSpan w:val="2"/>
            <w:tcBorders>
              <w:top w:val="nil"/>
              <w:left w:val="nil"/>
              <w:bottom w:val="nil"/>
              <w:right w:val="nil"/>
            </w:tcBorders>
            <w:vAlign w:val="bottom"/>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单位：万元</w:t>
            </w:r>
          </w:p>
        </w:tc>
      </w:tr>
      <w:tr>
        <w:tblPrEx>
          <w:tblCellMar>
            <w:top w:w="0" w:type="dxa"/>
            <w:left w:w="108" w:type="dxa"/>
            <w:bottom w:w="0" w:type="dxa"/>
            <w:right w:w="108" w:type="dxa"/>
          </w:tblCellMar>
        </w:tblPrEx>
        <w:trPr>
          <w:trHeight w:val="405" w:hRule="atLeast"/>
          <w:jc w:val="center"/>
        </w:trPr>
        <w:tc>
          <w:tcPr>
            <w:tcW w:w="1040" w:type="dxa"/>
            <w:vMerge w:val="restart"/>
            <w:tcBorders>
              <w:top w:val="single" w:color="auto" w:sz="4" w:space="0"/>
              <w:left w:val="single" w:color="auto" w:sz="4" w:space="0"/>
              <w:bottom w:val="nil"/>
              <w:right w:val="nil"/>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支出功能分类科目编码</w:t>
            </w:r>
          </w:p>
        </w:tc>
        <w:tc>
          <w:tcPr>
            <w:tcW w:w="13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科目名称</w:t>
            </w:r>
          </w:p>
        </w:tc>
        <w:tc>
          <w:tcPr>
            <w:tcW w:w="2845"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年初结转和结余</w:t>
            </w:r>
          </w:p>
        </w:tc>
        <w:tc>
          <w:tcPr>
            <w:tcW w:w="1040" w:type="dxa"/>
            <w:vMerge w:val="restart"/>
            <w:tcBorders>
              <w:top w:val="single" w:color="auto" w:sz="4" w:space="0"/>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本年收入</w:t>
            </w:r>
          </w:p>
        </w:tc>
        <w:tc>
          <w:tcPr>
            <w:tcW w:w="312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本年支出</w:t>
            </w:r>
          </w:p>
        </w:tc>
        <w:tc>
          <w:tcPr>
            <w:tcW w:w="305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年末结转和结余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shd w:val="clear" w:color="auto" w:fill="auto"/>
            <w:vAlign w:val="center"/>
          </w:tcPr>
          <w:p>
            <w:pPr>
              <w:widowControl/>
              <w:jc w:val="left"/>
              <w:rPr>
                <w:rFonts w:hint="default" w:ascii="Times New Roman" w:hAnsi="Times New Roman" w:cs="Times New Roman"/>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Times New Roman" w:hAnsi="Times New Roman" w:cs="Times New Roman"/>
                <w:kern w:val="0"/>
                <w:sz w:val="22"/>
                <w:szCs w:val="22"/>
              </w:rPr>
            </w:pPr>
          </w:p>
        </w:tc>
        <w:tc>
          <w:tcPr>
            <w:tcW w:w="765"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基本支出结转</w:t>
            </w:r>
          </w:p>
        </w:tc>
        <w:tc>
          <w:tcPr>
            <w:tcW w:w="1040" w:type="dxa"/>
            <w:vMerge w:val="restart"/>
            <w:tcBorders>
              <w:top w:val="nil"/>
              <w:left w:val="single" w:color="auto" w:sz="4" w:space="0"/>
              <w:bottom w:val="nil"/>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项目支出结转和结余</w:t>
            </w:r>
          </w:p>
        </w:tc>
        <w:tc>
          <w:tcPr>
            <w:tcW w:w="1040" w:type="dxa"/>
            <w:vMerge w:val="continue"/>
            <w:tcBorders>
              <w:top w:val="single" w:color="auto" w:sz="4" w:space="0"/>
              <w:left w:val="single" w:color="auto" w:sz="4" w:space="0"/>
              <w:bottom w:val="nil"/>
              <w:right w:val="single" w:color="auto" w:sz="4" w:space="0"/>
            </w:tcBorders>
            <w:shd w:val="clear" w:color="auto" w:fill="auto"/>
            <w:vAlign w:val="center"/>
          </w:tcPr>
          <w:p>
            <w:pPr>
              <w:widowControl/>
              <w:jc w:val="left"/>
              <w:rPr>
                <w:rFonts w:hint="default" w:ascii="Times New Roman" w:hAnsi="Times New Roman" w:cs="Times New Roman"/>
                <w:color w:val="000000"/>
                <w:kern w:val="0"/>
                <w:sz w:val="22"/>
                <w:szCs w:val="22"/>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合计</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基本支出结转</w:t>
            </w:r>
          </w:p>
        </w:tc>
        <w:tc>
          <w:tcPr>
            <w:tcW w:w="99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default" w:ascii="Times New Roman" w:hAnsi="Times New Roman" w:cs="Times New Roman"/>
                <w:color w:val="000000"/>
                <w:kern w:val="0"/>
                <w:sz w:val="22"/>
                <w:szCs w:val="22"/>
              </w:rPr>
            </w:pPr>
            <w:r>
              <w:rPr>
                <w:rFonts w:hint="default" w:ascii="Times New Roman" w:hAnsi="Times New Roman" w:cs="Times New Roman"/>
                <w:color w:val="000000"/>
                <w:kern w:val="0"/>
                <w:sz w:val="22"/>
                <w:szCs w:val="22"/>
              </w:rPr>
              <w:t>项目支出结转和结余</w:t>
            </w:r>
          </w:p>
        </w:tc>
      </w:tr>
      <w:tr>
        <w:tblPrEx>
          <w:tblCellMar>
            <w:top w:w="0" w:type="dxa"/>
            <w:left w:w="108" w:type="dxa"/>
            <w:bottom w:w="0" w:type="dxa"/>
            <w:right w:w="108" w:type="dxa"/>
          </w:tblCellMar>
        </w:tblPrEx>
        <w:trPr>
          <w:trHeight w:val="312" w:hRule="atLeast"/>
          <w:jc w:val="center"/>
        </w:trPr>
        <w:tc>
          <w:tcPr>
            <w:tcW w:w="1040" w:type="dxa"/>
            <w:vMerge w:val="continue"/>
            <w:tcBorders>
              <w:top w:val="single" w:color="auto" w:sz="4" w:space="0"/>
              <w:left w:val="single" w:color="auto" w:sz="4" w:space="0"/>
              <w:bottom w:val="nil"/>
              <w:right w:val="nil"/>
            </w:tcBorders>
            <w:vAlign w:val="center"/>
          </w:tcPr>
          <w:p>
            <w:pPr>
              <w:widowControl/>
              <w:jc w:val="left"/>
              <w:rPr>
                <w:rFonts w:hint="default" w:ascii="Times New Roman" w:hAnsi="Times New Roman" w:cs="Times New Roman"/>
                <w:kern w:val="0"/>
                <w:sz w:val="22"/>
                <w:szCs w:val="22"/>
              </w:rPr>
            </w:pPr>
          </w:p>
        </w:tc>
        <w:tc>
          <w:tcPr>
            <w:tcW w:w="13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p>
        </w:tc>
        <w:tc>
          <w:tcPr>
            <w:tcW w:w="765"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single" w:color="auto" w:sz="4" w:space="0"/>
              <w:left w:val="single" w:color="auto" w:sz="4" w:space="0"/>
              <w:bottom w:val="nil"/>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c>
          <w:tcPr>
            <w:tcW w:w="990" w:type="dxa"/>
            <w:vMerge w:val="continue"/>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color w:val="000000"/>
                <w:kern w:val="0"/>
                <w:sz w:val="22"/>
                <w:szCs w:val="22"/>
              </w:rPr>
            </w:pPr>
          </w:p>
        </w:tc>
      </w:tr>
      <w:tr>
        <w:tblPrEx>
          <w:tblCellMar>
            <w:top w:w="0" w:type="dxa"/>
            <w:left w:w="108" w:type="dxa"/>
            <w:bottom w:w="0" w:type="dxa"/>
            <w:right w:w="108" w:type="dxa"/>
          </w:tblCellMar>
        </w:tblPrEx>
        <w:trPr>
          <w:trHeight w:val="285" w:hRule="atLeast"/>
          <w:jc w:val="center"/>
        </w:trPr>
        <w:tc>
          <w:tcPr>
            <w:tcW w:w="242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合  计</w:t>
            </w:r>
          </w:p>
        </w:tc>
        <w:tc>
          <w:tcPr>
            <w:tcW w:w="765"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single" w:color="auto" w:sz="4" w:space="0"/>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　类</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款</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项</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r>
        <w:tblPrEx>
          <w:tblCellMar>
            <w:top w:w="0" w:type="dxa"/>
            <w:left w:w="108" w:type="dxa"/>
            <w:bottom w:w="0" w:type="dxa"/>
            <w:right w:w="108" w:type="dxa"/>
          </w:tblCellMar>
        </w:tblPrEx>
        <w:trPr>
          <w:trHeight w:val="285" w:hRule="atLeast"/>
          <w:jc w:val="center"/>
        </w:trPr>
        <w:tc>
          <w:tcPr>
            <w:tcW w:w="1040"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385" w:type="dxa"/>
            <w:tcBorders>
              <w:top w:val="nil"/>
              <w:left w:val="nil"/>
              <w:bottom w:val="single" w:color="auto" w:sz="4" w:space="0"/>
              <w:right w:val="single" w:color="auto" w:sz="4" w:space="0"/>
            </w:tcBorders>
            <w:vAlign w:val="center"/>
          </w:tcPr>
          <w:p>
            <w:pPr>
              <w:widowControl/>
              <w:jc w:val="center"/>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765"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4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102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c>
          <w:tcPr>
            <w:tcW w:w="990" w:type="dxa"/>
            <w:tcBorders>
              <w:top w:val="nil"/>
              <w:left w:val="nil"/>
              <w:bottom w:val="single" w:color="auto" w:sz="4" w:space="0"/>
              <w:right w:val="single" w:color="auto" w:sz="4" w:space="0"/>
            </w:tcBorders>
            <w:vAlign w:val="center"/>
          </w:tcPr>
          <w:p>
            <w:pPr>
              <w:widowControl/>
              <w:jc w:val="right"/>
              <w:rPr>
                <w:rFonts w:hint="default" w:ascii="Times New Roman" w:hAnsi="Times New Roman" w:cs="Times New Roman"/>
                <w:kern w:val="0"/>
                <w:sz w:val="22"/>
                <w:szCs w:val="22"/>
              </w:rPr>
            </w:pPr>
            <w:r>
              <w:rPr>
                <w:rFonts w:hint="default" w:ascii="Times New Roman" w:hAnsi="Times New Roman" w:cs="Times New Roman"/>
                <w:kern w:val="0"/>
                <w:sz w:val="22"/>
                <w:szCs w:val="22"/>
              </w:rPr>
              <w:t>　</w:t>
            </w:r>
          </w:p>
        </w:tc>
      </w:tr>
    </w:tbl>
    <w:p>
      <w:pPr>
        <w:spacing w:line="560" w:lineRule="exact"/>
        <w:ind w:firstLine="420"/>
        <w:rPr>
          <w:rFonts w:hint="default" w:ascii="Times New Roman" w:hAnsi="Times New Roman" w:cs="Times New Roman"/>
        </w:rPr>
      </w:pPr>
      <w:r>
        <w:rPr>
          <w:rFonts w:hint="default" w:ascii="Times New Roman" w:hAnsi="Times New Roman" w:cs="Times New Roman"/>
        </w:rPr>
        <w:t>注：本表反映部门本年度政府性基金预算财政拨款收入支出及结转和结余情况。</w:t>
      </w:r>
    </w:p>
    <w:p>
      <w:pPr>
        <w:spacing w:line="560" w:lineRule="exact"/>
        <w:ind w:firstLine="840" w:firstLineChars="400"/>
        <w:rPr>
          <w:rFonts w:hint="default" w:ascii="Times New Roman" w:hAnsi="Times New Roman" w:eastAsia="宋体" w:cs="Times New Roman"/>
          <w:lang w:eastAsia="zh-CN"/>
        </w:rPr>
      </w:pPr>
      <w:r>
        <w:rPr>
          <w:rFonts w:hint="default" w:ascii="Times New Roman" w:hAnsi="Times New Roman" w:cs="Times New Roman"/>
          <w:lang w:eastAsia="zh-CN"/>
        </w:rPr>
        <w:t>柳州市信访局</w:t>
      </w:r>
      <w:r>
        <w:rPr>
          <w:rFonts w:hint="default" w:ascii="Times New Roman" w:hAnsi="Times New Roman" w:cs="Times New Roman"/>
        </w:rPr>
        <w:t>没有</w:t>
      </w:r>
      <w:r>
        <w:rPr>
          <w:rFonts w:hint="default" w:ascii="Times New Roman" w:hAnsi="Times New Roman" w:cs="Times New Roman"/>
          <w:lang w:eastAsia="zh-CN"/>
        </w:rPr>
        <w:t>政府性基金</w:t>
      </w:r>
      <w:r>
        <w:rPr>
          <w:rFonts w:hint="default" w:ascii="Times New Roman" w:hAnsi="Times New Roman" w:cs="Times New Roman"/>
        </w:rPr>
        <w:t>收入，也没有政府性基金预算财政拨款安排的支出，故本表无数据</w:t>
      </w:r>
      <w:r>
        <w:rPr>
          <w:rFonts w:hint="default" w:ascii="Times New Roman" w:hAnsi="Times New Roman" w:cs="Times New Roman"/>
          <w:lang w:eastAsia="zh-CN"/>
        </w:rPr>
        <w:t>。</w:t>
      </w:r>
    </w:p>
    <w:p>
      <w:pPr>
        <w:spacing w:line="560" w:lineRule="exact"/>
        <w:ind w:firstLine="420"/>
        <w:rPr>
          <w:rFonts w:hint="default" w:ascii="Times New Roman" w:hAnsi="Times New Roman" w:cs="Times New Roman"/>
        </w:rPr>
      </w:pPr>
    </w:p>
    <w:tbl>
      <w:tblPr>
        <w:tblStyle w:val="5"/>
        <w:tblW w:w="13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610"/>
        <w:gridCol w:w="2249"/>
        <w:gridCol w:w="3242"/>
        <w:gridCol w:w="1344"/>
        <w:gridCol w:w="4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3520" w:type="dxa"/>
            <w:gridSpan w:val="5"/>
            <w:shd w:val="clear" w:color="auto" w:fill="FFFFFF"/>
            <w:vAlign w:val="center"/>
          </w:tcPr>
          <w:p>
            <w:pPr>
              <w:keepNext w:val="0"/>
              <w:keepLines w:val="0"/>
              <w:widowControl/>
              <w:suppressLineNumbers w:val="0"/>
              <w:jc w:val="center"/>
              <w:textAlignment w:val="center"/>
              <w:rPr>
                <w:rFonts w:hint="default" w:ascii="Times New Roman" w:hAnsi="Times New Roman" w:eastAsia="华文中宋" w:cs="Times New Roman"/>
                <w:i w:val="0"/>
                <w:color w:val="000000"/>
                <w:sz w:val="32"/>
                <w:szCs w:val="32"/>
                <w:highlight w:val="none"/>
                <w:u w:val="none"/>
              </w:rPr>
            </w:pPr>
            <w:r>
              <w:rPr>
                <w:rFonts w:hint="default" w:ascii="Times New Roman" w:hAnsi="Times New Roman" w:eastAsia="华文中宋" w:cs="Times New Roman"/>
                <w:i w:val="0"/>
                <w:color w:val="000000"/>
                <w:kern w:val="0"/>
                <w:sz w:val="32"/>
                <w:szCs w:val="32"/>
                <w:highlight w:val="none"/>
                <w:u w:val="none"/>
                <w:lang w:val="en-US" w:eastAsia="zh-CN" w:bidi="ar"/>
              </w:rPr>
              <w:t>表九：国有资本经营预算财政拨款支出决算表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trPr>
        <w:tc>
          <w:tcPr>
            <w:tcW w:w="8101" w:type="dxa"/>
            <w:gridSpan w:val="3"/>
            <w:shd w:val="clear" w:color="auto" w:fill="FFFFFF"/>
            <w:vAlign w:val="center"/>
          </w:tcPr>
          <w:p>
            <w:pP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部门：</w:t>
            </w:r>
            <w:r>
              <w:rPr>
                <w:rFonts w:hint="default" w:ascii="Times New Roman" w:hAnsi="Times New Roman" w:cs="Times New Roman"/>
                <w:i w:val="0"/>
                <w:color w:val="000000"/>
                <w:kern w:val="0"/>
                <w:sz w:val="20"/>
                <w:szCs w:val="20"/>
                <w:highlight w:val="none"/>
                <w:u w:val="none"/>
                <w:lang w:val="en-US" w:eastAsia="zh-CN" w:bidi="ar"/>
              </w:rPr>
              <w:t>中共柳州市委员会柳州市人民政府信访局</w:t>
            </w:r>
          </w:p>
        </w:tc>
        <w:tc>
          <w:tcPr>
            <w:tcW w:w="1344" w:type="dxa"/>
            <w:tcBorders>
              <w:bottom w:val="single" w:color="000000" w:sz="12" w:space="0"/>
            </w:tcBorders>
            <w:shd w:val="clear" w:color="auto" w:fill="FFFFFF"/>
            <w:vAlign w:val="center"/>
          </w:tcPr>
          <w:p>
            <w:pPr>
              <w:rPr>
                <w:rFonts w:hint="default" w:ascii="Times New Roman" w:hAnsi="Times New Roman" w:eastAsia="宋体" w:cs="Times New Roman"/>
                <w:i w:val="0"/>
                <w:color w:val="000000"/>
                <w:sz w:val="20"/>
                <w:szCs w:val="20"/>
                <w:highlight w:val="none"/>
                <w:u w:val="none"/>
              </w:rPr>
            </w:pPr>
          </w:p>
        </w:tc>
        <w:tc>
          <w:tcPr>
            <w:tcW w:w="4075" w:type="dxa"/>
            <w:shd w:val="clear" w:color="auto" w:fill="FFFFFF"/>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highlight w:val="none"/>
                <w:u w:val="none"/>
              </w:rPr>
            </w:pPr>
            <w:r>
              <w:rPr>
                <w:rFonts w:hint="default" w:ascii="Times New Roman" w:hAnsi="Times New Roman" w:eastAsia="宋体" w:cs="Times New Roman"/>
                <w:i w:val="0"/>
                <w:color w:val="000000"/>
                <w:kern w:val="0"/>
                <w:sz w:val="20"/>
                <w:szCs w:val="20"/>
                <w:highlight w:val="none"/>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0" w:hRule="atLeast"/>
        </w:trPr>
        <w:tc>
          <w:tcPr>
            <w:tcW w:w="4859" w:type="dxa"/>
            <w:gridSpan w:val="2"/>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项 </w:t>
            </w:r>
            <w:r>
              <w:rPr>
                <w:rStyle w:val="9"/>
                <w:rFonts w:hint="default" w:ascii="Times New Roman" w:hAnsi="Times New Roman" w:cs="Times New Roman"/>
                <w:highlight w:val="none"/>
                <w:lang w:val="en-US" w:eastAsia="zh-CN" w:bidi="ar"/>
              </w:rPr>
              <w:t xml:space="preserve">   </w:t>
            </w:r>
            <w:r>
              <w:rPr>
                <w:rStyle w:val="10"/>
                <w:rFonts w:hint="default" w:ascii="Times New Roman" w:hAnsi="Times New Roman" w:cs="Times New Roman"/>
                <w:highlight w:val="none"/>
                <w:lang w:val="en-US" w:eastAsia="zh-CN" w:bidi="ar"/>
              </w:rPr>
              <w:t>目</w:t>
            </w:r>
          </w:p>
        </w:tc>
        <w:tc>
          <w:tcPr>
            <w:tcW w:w="8661" w:type="dxa"/>
            <w:gridSpan w:val="3"/>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功能分类科目编码</w:t>
            </w:r>
          </w:p>
        </w:tc>
        <w:tc>
          <w:tcPr>
            <w:tcW w:w="2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科目名称</w:t>
            </w:r>
          </w:p>
        </w:tc>
        <w:tc>
          <w:tcPr>
            <w:tcW w:w="3242"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1344"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 xml:space="preserve">基本支出  </w:t>
            </w:r>
          </w:p>
        </w:tc>
        <w:tc>
          <w:tcPr>
            <w:tcW w:w="4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3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栏次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4859" w:type="dxa"/>
            <w:gridSpan w:val="2"/>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合计</w:t>
            </w: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0"/>
                <w:szCs w:val="20"/>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trPr>
        <w:tc>
          <w:tcPr>
            <w:tcW w:w="2610"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4"/>
                <w:szCs w:val="24"/>
                <w:highlight w:val="none"/>
                <w:u w:val="none"/>
              </w:rPr>
            </w:pP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32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c>
          <w:tcPr>
            <w:tcW w:w="40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8" w:hRule="atLeast"/>
        </w:trPr>
        <w:tc>
          <w:tcPr>
            <w:tcW w:w="13520" w:type="dxa"/>
            <w:gridSpan w:val="5"/>
            <w:tcBorders>
              <w:top w:val="single" w:color="000000" w:sz="12"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注：本表反映部门本年度国有资本经营预算财政拨款支出情况。</w:t>
            </w:r>
          </w:p>
        </w:tc>
      </w:tr>
    </w:tbl>
    <w:p>
      <w:pPr>
        <w:spacing w:line="560" w:lineRule="exact"/>
        <w:ind w:firstLine="420" w:firstLineChars="200"/>
        <w:rPr>
          <w:rFonts w:hint="default" w:ascii="Times New Roman" w:hAnsi="Times New Roman" w:eastAsia="宋体" w:cs="Times New Roman"/>
          <w:lang w:eastAsia="zh-CN"/>
        </w:rPr>
      </w:pPr>
      <w:r>
        <w:rPr>
          <w:rFonts w:hint="default" w:ascii="Times New Roman" w:hAnsi="Times New Roman" w:cs="Times New Roman"/>
          <w:lang w:eastAsia="zh-CN"/>
        </w:rPr>
        <w:t>柳州市信访局</w:t>
      </w:r>
      <w:r>
        <w:rPr>
          <w:rFonts w:hint="default" w:ascii="Times New Roman" w:hAnsi="Times New Roman" w:cs="Times New Roman"/>
        </w:rPr>
        <w:t>没有国有资本经营收入，也没有国有资本经营安排的支出，故本表无数据</w:t>
      </w:r>
      <w:r>
        <w:rPr>
          <w:rFonts w:hint="default" w:ascii="Times New Roman" w:hAnsi="Times New Roman" w:cs="Times New Roman"/>
          <w:lang w:eastAsia="zh-CN"/>
        </w:rPr>
        <w:t>。</w:t>
      </w:r>
    </w:p>
    <w:p>
      <w:pPr>
        <w:spacing w:line="560" w:lineRule="exact"/>
        <w:ind w:firstLine="420"/>
        <w:rPr>
          <w:rFonts w:hint="default" w:ascii="Times New Roman" w:hAnsi="Times New Roman" w:cs="Times New Roman"/>
          <w:highlight w:val="none"/>
        </w:rPr>
        <w:sectPr>
          <w:pgSz w:w="16838" w:h="11906" w:orient="landscape"/>
          <w:pgMar w:top="1797" w:right="1440" w:bottom="1797" w:left="1440" w:header="851" w:footer="992" w:gutter="0"/>
          <w:pgNumType w:fmt="decimal"/>
          <w:cols w:space="720" w:num="1"/>
          <w:docGrid w:type="lines" w:linePitch="312" w:charSpace="0"/>
        </w:sectPr>
      </w:pPr>
    </w:p>
    <w:p>
      <w:pPr>
        <w:spacing w:line="720" w:lineRule="auto"/>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第三部分：</w:t>
      </w:r>
      <w:r>
        <w:rPr>
          <w:rFonts w:hint="default" w:ascii="Times New Roman" w:hAnsi="Times New Roman" w:eastAsia="仿宋_GB2312" w:cs="Times New Roman"/>
          <w:b/>
          <w:sz w:val="32"/>
          <w:szCs w:val="32"/>
          <w:u w:val="none"/>
          <w:lang w:eastAsia="zh-CN"/>
        </w:rPr>
        <w:t>柳州市信访局</w:t>
      </w:r>
      <w:r>
        <w:rPr>
          <w:rFonts w:hint="default" w:ascii="Times New Roman" w:hAnsi="Times New Roman" w:eastAsia="仿宋_GB2312" w:cs="Times New Roman"/>
          <w:b/>
          <w:sz w:val="32"/>
          <w:szCs w:val="32"/>
          <w:u w:val="none"/>
        </w:rPr>
        <w:t>2020年度部门决算情况</w:t>
      </w:r>
      <w:r>
        <w:rPr>
          <w:rFonts w:hint="default" w:ascii="Times New Roman" w:hAnsi="Times New Roman" w:eastAsia="仿宋_GB2312" w:cs="Times New Roman"/>
          <w:b/>
          <w:sz w:val="32"/>
          <w:szCs w:val="32"/>
        </w:rPr>
        <w:t>说明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一、2020年度收入支出决算总体情况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2020年度收入总计</w:t>
      </w:r>
      <w:r>
        <w:rPr>
          <w:rFonts w:hint="default" w:ascii="Times New Roman" w:hAnsi="Times New Roman" w:eastAsia="仿宋_GB2312" w:cs="Times New Roman"/>
          <w:bCs/>
          <w:kern w:val="0"/>
          <w:sz w:val="32"/>
          <w:szCs w:val="32"/>
          <w:lang w:val="en-US" w:eastAsia="zh-CN"/>
        </w:rPr>
        <w:t>602.85</w:t>
      </w:r>
      <w:r>
        <w:rPr>
          <w:rFonts w:hint="default" w:ascii="Times New Roman" w:hAnsi="Times New Roman" w:eastAsia="仿宋_GB2312" w:cs="Times New Roman"/>
          <w:bCs/>
          <w:kern w:val="0"/>
          <w:sz w:val="32"/>
          <w:szCs w:val="32"/>
        </w:rPr>
        <w:t>万元，支出总计</w:t>
      </w:r>
      <w:r>
        <w:rPr>
          <w:rFonts w:hint="default" w:ascii="Times New Roman" w:hAnsi="Times New Roman" w:eastAsia="仿宋_GB2312" w:cs="Times New Roman"/>
          <w:bCs/>
          <w:kern w:val="0"/>
          <w:sz w:val="32"/>
          <w:szCs w:val="32"/>
          <w:lang w:val="en-US" w:eastAsia="zh-CN"/>
        </w:rPr>
        <w:t>602.85</w:t>
      </w:r>
      <w:r>
        <w:rPr>
          <w:rFonts w:hint="default" w:ascii="Times New Roman" w:hAnsi="Times New Roman" w:eastAsia="仿宋_GB2312" w:cs="Times New Roman"/>
          <w:bCs/>
          <w:kern w:val="0"/>
          <w:sz w:val="32"/>
          <w:szCs w:val="32"/>
        </w:rPr>
        <w:t>万元，与2019年相比，收、支分别增加</w:t>
      </w:r>
      <w:r>
        <w:rPr>
          <w:rFonts w:hint="default" w:ascii="Times New Roman" w:hAnsi="Times New Roman" w:eastAsia="仿宋_GB2312" w:cs="Times New Roman"/>
          <w:bCs/>
          <w:kern w:val="0"/>
          <w:sz w:val="32"/>
          <w:szCs w:val="32"/>
          <w:lang w:val="en-US" w:eastAsia="zh-CN"/>
        </w:rPr>
        <w:t>413.62万元</w:t>
      </w:r>
      <w:r>
        <w:rPr>
          <w:rFonts w:hint="eastAsia" w:eastAsia="仿宋_GB2312" w:cs="Times New Roman"/>
          <w:bCs/>
          <w:kern w:val="0"/>
          <w:sz w:val="32"/>
          <w:szCs w:val="32"/>
          <w:lang w:val="en-US" w:eastAsia="zh-CN"/>
        </w:rPr>
        <w:t>、</w:t>
      </w:r>
      <w:r>
        <w:rPr>
          <w:rFonts w:hint="default" w:ascii="Times New Roman" w:hAnsi="Times New Roman" w:eastAsia="仿宋_GB2312" w:cs="Times New Roman"/>
          <w:bCs/>
          <w:kern w:val="0"/>
          <w:sz w:val="32"/>
          <w:szCs w:val="32"/>
          <w:lang w:val="en-US" w:eastAsia="zh-CN"/>
        </w:rPr>
        <w:t>413.62万元</w:t>
      </w:r>
      <w:r>
        <w:rPr>
          <w:rFonts w:hint="default" w:ascii="Times New Roman" w:hAnsi="Times New Roman" w:eastAsia="仿宋_GB2312" w:cs="Times New Roman"/>
          <w:bCs/>
          <w:kern w:val="0"/>
          <w:sz w:val="32"/>
          <w:szCs w:val="32"/>
        </w:rPr>
        <w:t>；分别增长</w:t>
      </w:r>
      <w:r>
        <w:rPr>
          <w:rFonts w:hint="default" w:ascii="Times New Roman" w:hAnsi="Times New Roman" w:eastAsia="仿宋_GB2312" w:cs="Times New Roman"/>
          <w:bCs/>
          <w:kern w:val="0"/>
          <w:sz w:val="32"/>
          <w:szCs w:val="32"/>
          <w:lang w:val="en-US" w:eastAsia="zh-CN"/>
        </w:rPr>
        <w:t>218.58</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lang w:val="en-US" w:eastAsia="zh-CN"/>
        </w:rPr>
        <w:t>218.58</w:t>
      </w:r>
      <w:r>
        <w:rPr>
          <w:rFonts w:hint="default" w:ascii="Times New Roman" w:hAnsi="Times New Roman" w:eastAsia="仿宋_GB2312" w:cs="Times New Roman"/>
          <w:bCs/>
          <w:kern w:val="0"/>
          <w:sz w:val="32"/>
          <w:szCs w:val="32"/>
        </w:rPr>
        <w:t>%</w:t>
      </w:r>
      <w:r>
        <w:rPr>
          <w:rFonts w:hint="default" w:ascii="Times New Roman" w:hAnsi="Times New Roman"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二、2020年度收入决算情况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本年收入总计</w:t>
      </w:r>
      <w:r>
        <w:rPr>
          <w:rFonts w:hint="default" w:ascii="Times New Roman" w:hAnsi="Times New Roman" w:eastAsia="仿宋_GB2312" w:cs="Times New Roman"/>
          <w:bCs/>
          <w:kern w:val="0"/>
          <w:sz w:val="32"/>
          <w:szCs w:val="32"/>
          <w:lang w:val="en-US" w:eastAsia="zh-CN"/>
        </w:rPr>
        <w:t>594.3</w:t>
      </w:r>
      <w:r>
        <w:rPr>
          <w:rFonts w:hint="default" w:ascii="Times New Roman" w:hAnsi="Times New Roman" w:eastAsia="仿宋_GB2312" w:cs="Times New Roman"/>
          <w:bCs/>
          <w:kern w:val="0"/>
          <w:sz w:val="32"/>
          <w:szCs w:val="32"/>
        </w:rPr>
        <w:t>万元，其中：一般公共预算财政拨款收入</w:t>
      </w:r>
      <w:r>
        <w:rPr>
          <w:rFonts w:hint="default" w:ascii="Times New Roman" w:hAnsi="Times New Roman" w:eastAsia="仿宋_GB2312" w:cs="Times New Roman"/>
          <w:bCs/>
          <w:kern w:val="0"/>
          <w:sz w:val="32"/>
          <w:szCs w:val="32"/>
          <w:lang w:val="en-US" w:eastAsia="zh-CN"/>
        </w:rPr>
        <w:t>594.3</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；政府基金预算财政拨款收入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；上级补助收入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 xml:space="preserve"> ；事业单位经营收入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；其他收入</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万元；占比</w:t>
      </w:r>
      <w:r>
        <w:rPr>
          <w:rFonts w:hint="default" w:ascii="Times New Roman" w:hAnsi="Times New Roman"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三、2020年度支出决算情况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本年支出合计</w:t>
      </w:r>
      <w:r>
        <w:rPr>
          <w:rFonts w:hint="eastAsia" w:eastAsia="仿宋_GB2312" w:cs="Times New Roman"/>
          <w:bCs/>
          <w:kern w:val="0"/>
          <w:sz w:val="32"/>
          <w:szCs w:val="32"/>
          <w:lang w:val="en-US" w:eastAsia="zh-CN"/>
        </w:rPr>
        <w:t>552.71</w:t>
      </w:r>
      <w:r>
        <w:rPr>
          <w:rFonts w:hint="default" w:ascii="Times New Roman" w:hAnsi="Times New Roman" w:eastAsia="仿宋_GB2312" w:cs="Times New Roman"/>
          <w:bCs/>
          <w:kern w:val="0"/>
          <w:sz w:val="32"/>
          <w:szCs w:val="32"/>
        </w:rPr>
        <w:t>万元（逐项说明），其中：基本支出</w:t>
      </w:r>
      <w:r>
        <w:rPr>
          <w:rFonts w:hint="eastAsia" w:eastAsia="仿宋_GB2312" w:cs="Times New Roman"/>
          <w:bCs/>
          <w:kern w:val="0"/>
          <w:sz w:val="32"/>
          <w:szCs w:val="32"/>
          <w:lang w:val="en-US" w:eastAsia="zh-CN"/>
        </w:rPr>
        <w:t>355.19</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64.26</w:t>
      </w:r>
      <w:r>
        <w:rPr>
          <w:rFonts w:hint="default" w:ascii="Times New Roman" w:hAnsi="Times New Roman" w:eastAsia="仿宋_GB2312" w:cs="Times New Roman"/>
          <w:bCs/>
          <w:kern w:val="0"/>
          <w:sz w:val="32"/>
          <w:szCs w:val="32"/>
        </w:rPr>
        <w:t>%；项目支出</w:t>
      </w:r>
      <w:r>
        <w:rPr>
          <w:rFonts w:hint="eastAsia" w:eastAsia="仿宋_GB2312" w:cs="Times New Roman"/>
          <w:bCs/>
          <w:kern w:val="0"/>
          <w:sz w:val="32"/>
          <w:szCs w:val="32"/>
          <w:lang w:val="en-US" w:eastAsia="zh-CN"/>
        </w:rPr>
        <w:t>197.52</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35.74</w:t>
      </w:r>
      <w:r>
        <w:rPr>
          <w:rFonts w:hint="default" w:ascii="Times New Roman" w:hAnsi="Times New Roman" w:eastAsia="仿宋_GB2312" w:cs="Times New Roman"/>
          <w:bCs/>
          <w:kern w:val="0"/>
          <w:sz w:val="32"/>
          <w:szCs w:val="32"/>
        </w:rPr>
        <w:t>%；经营支出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%；上缴上级支出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；对附属单位补助支出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四、2020年度财政拨款收入支出决算情况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本部门 2020年度财政拨款收、支总决算</w:t>
      </w:r>
      <w:r>
        <w:rPr>
          <w:rFonts w:hint="eastAsia" w:eastAsia="仿宋_GB2312" w:cs="Times New Roman"/>
          <w:bCs/>
          <w:kern w:val="0"/>
          <w:sz w:val="32"/>
          <w:szCs w:val="32"/>
          <w:lang w:val="en-US" w:eastAsia="zh-CN"/>
        </w:rPr>
        <w:t>602.85</w:t>
      </w:r>
      <w:r>
        <w:rPr>
          <w:rFonts w:hint="default" w:ascii="Times New Roman" w:hAnsi="Times New Roman" w:eastAsia="仿宋_GB2312" w:cs="Times New Roman"/>
          <w:bCs/>
          <w:kern w:val="0"/>
          <w:sz w:val="32"/>
          <w:szCs w:val="32"/>
        </w:rPr>
        <w:t>万元、</w:t>
      </w:r>
      <w:r>
        <w:rPr>
          <w:rFonts w:hint="eastAsia" w:eastAsia="仿宋_GB2312" w:cs="Times New Roman"/>
          <w:bCs/>
          <w:kern w:val="0"/>
          <w:sz w:val="32"/>
          <w:szCs w:val="32"/>
          <w:lang w:val="en-US" w:eastAsia="zh-CN"/>
        </w:rPr>
        <w:t>602.85</w:t>
      </w:r>
      <w:r>
        <w:rPr>
          <w:rFonts w:hint="default" w:ascii="Times New Roman" w:hAnsi="Times New Roman" w:eastAsia="仿宋_GB2312" w:cs="Times New Roman"/>
          <w:bCs/>
          <w:kern w:val="0"/>
          <w:sz w:val="32"/>
          <w:szCs w:val="32"/>
        </w:rPr>
        <w:t>万元。与2019年相比，财政拨款收、支总计各增加</w:t>
      </w:r>
      <w:r>
        <w:rPr>
          <w:rFonts w:hint="eastAsia" w:eastAsia="仿宋_GB2312" w:cs="Times New Roman"/>
          <w:bCs/>
          <w:kern w:val="0"/>
          <w:sz w:val="32"/>
          <w:szCs w:val="32"/>
          <w:lang w:val="en-US" w:eastAsia="zh-CN"/>
        </w:rPr>
        <w:t>413.62</w:t>
      </w:r>
      <w:r>
        <w:rPr>
          <w:rFonts w:hint="default" w:ascii="Times New Roman" w:hAnsi="Times New Roman" w:eastAsia="仿宋_GB2312" w:cs="Times New Roman"/>
          <w:bCs/>
          <w:kern w:val="0"/>
          <w:sz w:val="32"/>
          <w:szCs w:val="32"/>
        </w:rPr>
        <w:t>万元</w:t>
      </w:r>
      <w:r>
        <w:rPr>
          <w:rFonts w:hint="eastAsia" w:eastAsia="仿宋_GB2312" w:cs="Times New Roman"/>
          <w:bCs/>
          <w:kern w:val="0"/>
          <w:sz w:val="32"/>
          <w:szCs w:val="32"/>
          <w:lang w:eastAsia="zh-CN"/>
        </w:rPr>
        <w:t>、</w:t>
      </w:r>
      <w:r>
        <w:rPr>
          <w:rFonts w:hint="eastAsia" w:eastAsia="仿宋_GB2312" w:cs="Times New Roman"/>
          <w:bCs/>
          <w:kern w:val="0"/>
          <w:sz w:val="32"/>
          <w:szCs w:val="32"/>
          <w:lang w:val="en-US" w:eastAsia="zh-CN"/>
        </w:rPr>
        <w:t>413.62</w:t>
      </w:r>
      <w:r>
        <w:rPr>
          <w:rFonts w:hint="default" w:ascii="Times New Roman" w:hAnsi="Times New Roman" w:eastAsia="仿宋_GB2312" w:cs="Times New Roman"/>
          <w:bCs/>
          <w:kern w:val="0"/>
          <w:sz w:val="32"/>
          <w:szCs w:val="32"/>
        </w:rPr>
        <w:t>万元，增长</w:t>
      </w:r>
      <w:r>
        <w:rPr>
          <w:rFonts w:hint="eastAsia" w:eastAsia="仿宋_GB2312" w:cs="Times New Roman"/>
          <w:bCs/>
          <w:kern w:val="0"/>
          <w:sz w:val="32"/>
          <w:szCs w:val="32"/>
          <w:lang w:val="en-US" w:eastAsia="zh-CN"/>
        </w:rPr>
        <w:t>218.58</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w:t>
      </w:r>
      <w:r>
        <w:rPr>
          <w:rFonts w:hint="eastAsia" w:eastAsia="仿宋_GB2312" w:cs="Times New Roman"/>
          <w:bCs/>
          <w:kern w:val="0"/>
          <w:sz w:val="32"/>
          <w:szCs w:val="32"/>
          <w:lang w:val="en-US" w:eastAsia="zh-CN"/>
        </w:rPr>
        <w:t>218.58</w:t>
      </w:r>
      <w:r>
        <w:rPr>
          <w:rFonts w:hint="default"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五、2020年度一般公共预算财政拨款支出决算情况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（一）财政拨款支出决算情况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部门 2020年度财政拨款支出</w:t>
      </w:r>
      <w:r>
        <w:rPr>
          <w:rFonts w:hint="eastAsia" w:eastAsia="仿宋_GB2312" w:cs="Times New Roman"/>
          <w:bCs/>
          <w:kern w:val="0"/>
          <w:sz w:val="32"/>
          <w:szCs w:val="32"/>
          <w:lang w:val="en-US" w:eastAsia="zh-CN"/>
        </w:rPr>
        <w:t>552.71</w:t>
      </w:r>
      <w:r>
        <w:rPr>
          <w:rFonts w:hint="default" w:ascii="Times New Roman" w:hAnsi="Times New Roman" w:eastAsia="仿宋_GB2312" w:cs="Times New Roman"/>
          <w:bCs/>
          <w:kern w:val="0"/>
          <w:sz w:val="32"/>
          <w:szCs w:val="32"/>
        </w:rPr>
        <w:t>万元，占本年支出合计的</w:t>
      </w:r>
      <w:r>
        <w:rPr>
          <w:rFonts w:hint="eastAsia" w:eastAsia="仿宋_GB2312" w:cs="Times New Roman"/>
          <w:bCs/>
          <w:kern w:val="0"/>
          <w:sz w:val="32"/>
          <w:szCs w:val="32"/>
          <w:lang w:val="en-US" w:eastAsia="zh-CN"/>
        </w:rPr>
        <w:t>91.68</w:t>
      </w:r>
      <w:r>
        <w:rPr>
          <w:rFonts w:hint="default" w:ascii="Times New Roman" w:hAnsi="Times New Roman" w:eastAsia="仿宋_GB2312" w:cs="Times New Roman"/>
          <w:bCs/>
          <w:kern w:val="0"/>
          <w:sz w:val="32"/>
          <w:szCs w:val="32"/>
        </w:rPr>
        <w:t>%。与 2019 年相比，财政拨款支出增</w:t>
      </w:r>
      <w:r>
        <w:rPr>
          <w:rFonts w:hint="eastAsia" w:eastAsia="仿宋_GB2312" w:cs="Times New Roman"/>
          <w:bCs/>
          <w:kern w:val="0"/>
          <w:sz w:val="32"/>
          <w:szCs w:val="32"/>
          <w:lang w:val="en-US" w:eastAsia="zh-CN"/>
        </w:rPr>
        <w:t>372.65</w:t>
      </w:r>
      <w:r>
        <w:rPr>
          <w:rFonts w:hint="default" w:ascii="Times New Roman" w:hAnsi="Times New Roman" w:eastAsia="仿宋_GB2312" w:cs="Times New Roman"/>
          <w:bCs/>
          <w:kern w:val="0"/>
          <w:sz w:val="32"/>
          <w:szCs w:val="32"/>
        </w:rPr>
        <w:t>万元，增加</w:t>
      </w:r>
      <w:r>
        <w:rPr>
          <w:rFonts w:hint="eastAsia" w:eastAsia="仿宋_GB2312" w:cs="Times New Roman"/>
          <w:bCs/>
          <w:kern w:val="0"/>
          <w:sz w:val="32"/>
          <w:szCs w:val="32"/>
          <w:lang w:val="en-US" w:eastAsia="zh-CN"/>
        </w:rPr>
        <w:t>206.96</w:t>
      </w:r>
      <w:r>
        <w:rPr>
          <w:rFonts w:hint="default"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bCs/>
          <w:kern w:val="0"/>
          <w:sz w:val="32"/>
          <w:szCs w:val="32"/>
          <w:lang w:val="en-US" w:eastAsia="zh-CN"/>
        </w:rPr>
      </w:pPr>
      <w:r>
        <w:rPr>
          <w:rFonts w:hint="default" w:ascii="Times New Roman" w:hAnsi="Times New Roman" w:eastAsia="仿宋_GB2312" w:cs="Times New Roman"/>
          <w:bCs/>
          <w:kern w:val="0"/>
          <w:sz w:val="32"/>
          <w:szCs w:val="32"/>
        </w:rPr>
        <w:t xml:space="preserve">     2020 年度财政拨款支出</w:t>
      </w:r>
      <w:r>
        <w:rPr>
          <w:rFonts w:hint="eastAsia" w:eastAsia="仿宋_GB2312" w:cs="Times New Roman"/>
          <w:bCs/>
          <w:kern w:val="0"/>
          <w:sz w:val="32"/>
          <w:szCs w:val="32"/>
          <w:lang w:val="en-US" w:eastAsia="zh-CN"/>
        </w:rPr>
        <w:t>552.71</w:t>
      </w:r>
      <w:r>
        <w:rPr>
          <w:rFonts w:hint="default" w:ascii="Times New Roman" w:hAnsi="Times New Roman" w:eastAsia="仿宋_GB2312" w:cs="Times New Roman"/>
          <w:bCs/>
          <w:kern w:val="0"/>
          <w:sz w:val="32"/>
          <w:szCs w:val="32"/>
        </w:rPr>
        <w:t>万元，主要用于以下方面：一般公共服务（类）支出</w:t>
      </w:r>
      <w:r>
        <w:rPr>
          <w:rFonts w:hint="eastAsia" w:eastAsia="仿宋_GB2312" w:cs="Times New Roman"/>
          <w:bCs/>
          <w:kern w:val="0"/>
          <w:sz w:val="32"/>
          <w:szCs w:val="32"/>
          <w:lang w:val="en-US" w:eastAsia="zh-CN"/>
        </w:rPr>
        <w:t>437.63</w:t>
      </w:r>
      <w:r>
        <w:rPr>
          <w:rFonts w:hint="default" w:ascii="Times New Roman" w:hAnsi="Times New Roman" w:eastAsia="仿宋_GB2312" w:cs="Times New Roman"/>
          <w:bCs/>
          <w:kern w:val="0"/>
          <w:sz w:val="32"/>
          <w:szCs w:val="32"/>
        </w:rPr>
        <w:t>万元， 占</w:t>
      </w:r>
      <w:r>
        <w:rPr>
          <w:rFonts w:hint="eastAsia" w:eastAsia="仿宋_GB2312" w:cs="Times New Roman"/>
          <w:bCs/>
          <w:kern w:val="0"/>
          <w:sz w:val="32"/>
          <w:szCs w:val="32"/>
          <w:lang w:val="en-US" w:eastAsia="zh-CN"/>
        </w:rPr>
        <w:t>79.18</w:t>
      </w:r>
      <w:r>
        <w:rPr>
          <w:rFonts w:hint="default" w:ascii="Times New Roman" w:hAnsi="Times New Roman" w:eastAsia="仿宋_GB2312" w:cs="Times New Roman"/>
          <w:bCs/>
          <w:kern w:val="0"/>
          <w:sz w:val="32"/>
          <w:szCs w:val="32"/>
        </w:rPr>
        <w:t>%；社会保障和就业（类）支出</w:t>
      </w:r>
      <w:r>
        <w:rPr>
          <w:rFonts w:hint="eastAsia" w:eastAsia="仿宋_GB2312" w:cs="Times New Roman"/>
          <w:bCs/>
          <w:kern w:val="0"/>
          <w:sz w:val="32"/>
          <w:szCs w:val="32"/>
          <w:lang w:val="en-US" w:eastAsia="zh-CN"/>
        </w:rPr>
        <w:t>53.64</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9.7</w:t>
      </w:r>
      <w:r>
        <w:rPr>
          <w:rFonts w:hint="default" w:ascii="Times New Roman" w:hAnsi="Times New Roman" w:eastAsia="仿宋_GB2312" w:cs="Times New Roman"/>
          <w:bCs/>
          <w:kern w:val="0"/>
          <w:sz w:val="32"/>
          <w:szCs w:val="32"/>
        </w:rPr>
        <w:t>%；卫生健康</w:t>
      </w:r>
      <w:r>
        <w:rPr>
          <w:rFonts w:hint="eastAsia" w:eastAsia="仿宋_GB2312" w:cs="Times New Roman"/>
          <w:bCs/>
          <w:kern w:val="0"/>
          <w:sz w:val="32"/>
          <w:szCs w:val="32"/>
          <w:lang w:eastAsia="zh-CN"/>
        </w:rPr>
        <w:t>（类）</w:t>
      </w:r>
      <w:r>
        <w:rPr>
          <w:rFonts w:hint="default" w:ascii="Times New Roman" w:hAnsi="Times New Roman" w:eastAsia="仿宋_GB2312" w:cs="Times New Roman"/>
          <w:bCs/>
          <w:kern w:val="0"/>
          <w:sz w:val="32"/>
          <w:szCs w:val="32"/>
        </w:rPr>
        <w:t>支出</w:t>
      </w:r>
      <w:r>
        <w:rPr>
          <w:rFonts w:hint="eastAsia" w:eastAsia="仿宋_GB2312" w:cs="Times New Roman"/>
          <w:bCs/>
          <w:kern w:val="0"/>
          <w:sz w:val="32"/>
          <w:szCs w:val="32"/>
          <w:lang w:val="en-US" w:eastAsia="zh-CN"/>
        </w:rPr>
        <w:t>33.42</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6.05</w:t>
      </w:r>
      <w:r>
        <w:rPr>
          <w:rFonts w:hint="default" w:ascii="Times New Roman" w:hAnsi="Times New Roman" w:eastAsia="仿宋_GB2312" w:cs="Times New Roman"/>
          <w:bCs/>
          <w:kern w:val="0"/>
          <w:sz w:val="32"/>
          <w:szCs w:val="32"/>
        </w:rPr>
        <w:t>%</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住房保障（类）支出</w:t>
      </w:r>
      <w:r>
        <w:rPr>
          <w:rFonts w:hint="eastAsia" w:eastAsia="仿宋_GB2312" w:cs="Times New Roman"/>
          <w:bCs/>
          <w:kern w:val="0"/>
          <w:sz w:val="32"/>
          <w:szCs w:val="32"/>
          <w:lang w:val="en-US" w:eastAsia="zh-CN"/>
        </w:rPr>
        <w:t>28.02</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5.07%。</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 年度财政拨款支出年初预算为</w:t>
      </w:r>
      <w:r>
        <w:rPr>
          <w:rFonts w:hint="eastAsia" w:eastAsia="仿宋_GB2312" w:cs="Times New Roman"/>
          <w:bCs/>
          <w:kern w:val="0"/>
          <w:sz w:val="32"/>
          <w:szCs w:val="32"/>
          <w:lang w:val="en-US" w:eastAsia="zh-CN"/>
        </w:rPr>
        <w:t>527</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552.71</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104.88</w:t>
      </w:r>
      <w:r>
        <w:rPr>
          <w:rFonts w:hint="default" w:ascii="Times New Roman" w:hAnsi="Times New Roman" w:eastAsia="仿宋_GB2312" w:cs="Times New Roman"/>
          <w:bCs/>
          <w:kern w:val="0"/>
          <w:sz w:val="32"/>
          <w:szCs w:val="32"/>
        </w:rPr>
        <w:t>%。决算数大于预算数的主要原因：一是年中追加安排财政拨款支出预算，涉及项目有</w:t>
      </w:r>
      <w:r>
        <w:rPr>
          <w:rFonts w:hint="eastAsia" w:eastAsia="仿宋_GB2312" w:cs="Times New Roman"/>
          <w:bCs/>
          <w:kern w:val="0"/>
          <w:sz w:val="32"/>
          <w:szCs w:val="32"/>
          <w:lang w:val="en-US" w:eastAsia="zh-CN"/>
        </w:rPr>
        <w:t>2019年度绩效考评奖励、2020年二层机构聘用人员专项经费、2020年度二层机构绩效工资增减量、2020年度增人增资经费、2020年度公务员医疗补助经费</w:t>
      </w:r>
      <w:r>
        <w:rPr>
          <w:rFonts w:hint="default" w:ascii="Times New Roman" w:hAnsi="Times New Roman" w:eastAsia="仿宋_GB2312" w:cs="Times New Roman"/>
          <w:bCs/>
          <w:kern w:val="0"/>
          <w:sz w:val="32"/>
          <w:szCs w:val="32"/>
        </w:rPr>
        <w:t>；二是部分支出按规定，通过使用以前年度财政拨款结转资金解决。其中：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一般公共服务（类）党委办公厅（室）及相关机构事务（款）行政运行（项）。年初预算为</w:t>
      </w:r>
      <w:r>
        <w:rPr>
          <w:rFonts w:hint="eastAsia" w:eastAsia="仿宋_GB2312" w:cs="Times New Roman"/>
          <w:bCs/>
          <w:kern w:val="0"/>
          <w:sz w:val="32"/>
          <w:szCs w:val="32"/>
          <w:lang w:val="en-US" w:eastAsia="zh-CN"/>
        </w:rPr>
        <w:t>18.09</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20.09</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111.06</w:t>
      </w:r>
      <w:r>
        <w:rPr>
          <w:rFonts w:hint="default" w:ascii="Times New Roman" w:hAnsi="Times New Roman" w:eastAsia="仿宋_GB2312" w:cs="Times New Roman"/>
          <w:bCs/>
          <w:kern w:val="0"/>
          <w:sz w:val="32"/>
          <w:szCs w:val="32"/>
        </w:rPr>
        <w:t>%。决算数大于预算数的主要原因是</w:t>
      </w:r>
      <w:r>
        <w:rPr>
          <w:rFonts w:hint="eastAsia" w:eastAsia="仿宋_GB2312" w:cs="Times New Roman"/>
          <w:bCs/>
          <w:kern w:val="0"/>
          <w:sz w:val="32"/>
          <w:szCs w:val="32"/>
          <w:lang w:eastAsia="zh-CN"/>
        </w:rPr>
        <w:t>年度追加二层事业单位绩效工资增减量以及增人增资经费。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仿宋_GB2312" w:cs="Times New Roman"/>
          <w:bCs/>
          <w:kern w:val="0"/>
          <w:sz w:val="32"/>
          <w:szCs w:val="32"/>
          <w:lang w:eastAsia="zh-CN"/>
        </w:rPr>
      </w:pPr>
      <w:r>
        <w:rPr>
          <w:rFonts w:hint="eastAsia" w:eastAsia="仿宋_GB2312" w:cs="Times New Roman"/>
          <w:bCs/>
          <w:kern w:val="0"/>
          <w:sz w:val="32"/>
          <w:szCs w:val="32"/>
          <w:lang w:val="en-US" w:eastAsia="zh-CN"/>
        </w:rPr>
        <w:t>2.</w:t>
      </w:r>
      <w:r>
        <w:rPr>
          <w:rFonts w:hint="default" w:ascii="Times New Roman" w:hAnsi="Times New Roman" w:eastAsia="仿宋_GB2312" w:cs="Times New Roman"/>
          <w:bCs/>
          <w:kern w:val="0"/>
          <w:sz w:val="32"/>
          <w:szCs w:val="32"/>
        </w:rPr>
        <w:t>一般公共服务（类）党委办公厅（室）及相关机构事务（款）专项业务（项）。年初预算为</w:t>
      </w:r>
      <w:r>
        <w:rPr>
          <w:rFonts w:hint="eastAsia" w:eastAsia="仿宋_GB2312" w:cs="Times New Roman"/>
          <w:bCs/>
          <w:kern w:val="0"/>
          <w:sz w:val="32"/>
          <w:szCs w:val="32"/>
          <w:lang w:val="en-US" w:eastAsia="zh-CN"/>
        </w:rPr>
        <w:t>185.73</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164.28</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88.45</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小于</w:t>
      </w:r>
      <w:r>
        <w:rPr>
          <w:rFonts w:hint="default" w:ascii="Times New Roman" w:hAnsi="Times New Roman" w:eastAsia="仿宋_GB2312" w:cs="Times New Roman"/>
          <w:bCs/>
          <w:kern w:val="0"/>
          <w:sz w:val="32"/>
          <w:szCs w:val="32"/>
        </w:rPr>
        <w:t>预算数的主要原因是</w:t>
      </w:r>
      <w:r>
        <w:rPr>
          <w:rFonts w:hint="eastAsia" w:eastAsia="仿宋_GB2312" w:cs="Times New Roman"/>
          <w:bCs/>
          <w:kern w:val="0"/>
          <w:sz w:val="32"/>
          <w:szCs w:val="32"/>
          <w:lang w:eastAsia="zh-CN"/>
        </w:rPr>
        <w:t>调减了全年的一包方式管培训专项经费。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3.</w:t>
      </w:r>
      <w:r>
        <w:rPr>
          <w:rFonts w:hint="default" w:ascii="Times New Roman" w:hAnsi="Times New Roman" w:eastAsia="仿宋_GB2312" w:cs="Times New Roman"/>
          <w:bCs/>
          <w:kern w:val="0"/>
          <w:sz w:val="32"/>
          <w:szCs w:val="32"/>
        </w:rPr>
        <w:t>一般公共服务（类）党委办公厅（室）及相关机构事务（款）其他党委办公厅（室）及相关机构事务支出（项）。年初预算为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28.37</w:t>
      </w:r>
      <w:r>
        <w:rPr>
          <w:rFonts w:hint="default" w:ascii="Times New Roman" w:hAnsi="Times New Roman" w:eastAsia="仿宋_GB2312" w:cs="Times New Roman"/>
          <w:bCs/>
          <w:kern w:val="0"/>
          <w:sz w:val="32"/>
          <w:szCs w:val="32"/>
        </w:rPr>
        <w:t>万元。决算数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该项经费为当年追加</w:t>
      </w:r>
      <w:r>
        <w:rPr>
          <w:rFonts w:hint="eastAsia" w:eastAsia="仿宋_GB2312" w:cs="Times New Roman"/>
          <w:bCs/>
          <w:kern w:val="0"/>
          <w:sz w:val="32"/>
          <w:szCs w:val="32"/>
          <w:lang w:val="en-US" w:eastAsia="zh-CN"/>
        </w:rPr>
        <w:t>2020年二层机构聘用人员专项经费</w:t>
      </w:r>
      <w:r>
        <w:rPr>
          <w:rFonts w:hint="eastAsia" w:eastAsia="仿宋_GB2312" w:cs="Times New Roman"/>
          <w:bCs/>
          <w:kern w:val="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4.</w:t>
      </w:r>
      <w:r>
        <w:rPr>
          <w:rFonts w:hint="default" w:ascii="Times New Roman" w:hAnsi="Times New Roman" w:eastAsia="仿宋_GB2312" w:cs="Times New Roman"/>
          <w:bCs/>
          <w:kern w:val="0"/>
          <w:sz w:val="32"/>
          <w:szCs w:val="32"/>
        </w:rPr>
        <w:t>一般公共服务（类）其他共产党事务支出（款）行政运行（项）。年初预算为</w:t>
      </w:r>
      <w:r>
        <w:rPr>
          <w:rFonts w:hint="eastAsia" w:eastAsia="仿宋_GB2312" w:cs="Times New Roman"/>
          <w:bCs/>
          <w:kern w:val="0"/>
          <w:sz w:val="32"/>
          <w:szCs w:val="32"/>
          <w:lang w:val="en-US" w:eastAsia="zh-CN"/>
        </w:rPr>
        <w:t>215.69</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222.09</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102.97</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预算数的主要原因是</w:t>
      </w:r>
      <w:r>
        <w:rPr>
          <w:rFonts w:hint="eastAsia" w:eastAsia="仿宋_GB2312" w:cs="Times New Roman"/>
          <w:bCs/>
          <w:kern w:val="0"/>
          <w:sz w:val="32"/>
          <w:szCs w:val="32"/>
          <w:lang w:eastAsia="zh-CN"/>
        </w:rPr>
        <w:t>当年追加了</w:t>
      </w:r>
      <w:r>
        <w:rPr>
          <w:rFonts w:hint="eastAsia" w:eastAsia="仿宋_GB2312" w:cs="Times New Roman"/>
          <w:bCs/>
          <w:kern w:val="0"/>
          <w:sz w:val="32"/>
          <w:szCs w:val="32"/>
          <w:lang w:val="en-US" w:eastAsia="zh-CN"/>
        </w:rPr>
        <w:t>2019年度绩效考评奖励经费</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一般公共服务（类）网信事务（款）行政运行（项）。年初预算为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1.71</w:t>
      </w:r>
      <w:r>
        <w:rPr>
          <w:rFonts w:hint="default" w:ascii="Times New Roman" w:hAnsi="Times New Roman" w:eastAsia="仿宋_GB2312" w:cs="Times New Roman"/>
          <w:bCs/>
          <w:kern w:val="0"/>
          <w:sz w:val="32"/>
          <w:szCs w:val="32"/>
        </w:rPr>
        <w:t>万元。决算数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预算数的主要原因是</w:t>
      </w:r>
      <w:r>
        <w:rPr>
          <w:rFonts w:hint="eastAsia" w:eastAsia="仿宋_GB2312" w:cs="Times New Roman"/>
          <w:bCs/>
          <w:kern w:val="0"/>
          <w:sz w:val="32"/>
          <w:szCs w:val="32"/>
          <w:lang w:eastAsia="zh-CN"/>
        </w:rPr>
        <w:t>当年追加了</w:t>
      </w:r>
      <w:r>
        <w:rPr>
          <w:rFonts w:hint="eastAsia" w:eastAsia="仿宋_GB2312" w:cs="Times New Roman"/>
          <w:bCs/>
          <w:kern w:val="0"/>
          <w:sz w:val="32"/>
          <w:szCs w:val="32"/>
          <w:lang w:val="en-US" w:eastAsia="zh-CN"/>
        </w:rPr>
        <w:t>2019年度核</w:t>
      </w:r>
      <w:r>
        <w:rPr>
          <w:rFonts w:hint="eastAsia" w:eastAsia="仿宋_GB2312" w:cs="Times New Roman"/>
          <w:bCs/>
          <w:kern w:val="0"/>
          <w:sz w:val="32"/>
          <w:szCs w:val="32"/>
          <w:lang w:eastAsia="zh-CN"/>
        </w:rPr>
        <w:t>优秀奖励费及增人增资经费。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6.</w:t>
      </w:r>
      <w:r>
        <w:rPr>
          <w:rFonts w:hint="default" w:ascii="Times New Roman" w:hAnsi="Times New Roman" w:eastAsia="仿宋_GB2312" w:cs="Times New Roman"/>
          <w:bCs/>
          <w:kern w:val="0"/>
          <w:sz w:val="32"/>
          <w:szCs w:val="32"/>
        </w:rPr>
        <w:t>一般公共服务（类）网信事务（款）</w:t>
      </w:r>
      <w:r>
        <w:rPr>
          <w:rFonts w:hint="eastAsia" w:eastAsia="仿宋_GB2312" w:cs="Times New Roman"/>
          <w:bCs/>
          <w:kern w:val="0"/>
          <w:sz w:val="32"/>
          <w:szCs w:val="32"/>
          <w:lang w:eastAsia="zh-CN"/>
        </w:rPr>
        <w:t>事业</w:t>
      </w:r>
      <w:r>
        <w:rPr>
          <w:rFonts w:hint="default" w:ascii="Times New Roman" w:hAnsi="Times New Roman" w:eastAsia="仿宋_GB2312" w:cs="Times New Roman"/>
          <w:bCs/>
          <w:kern w:val="0"/>
          <w:sz w:val="32"/>
          <w:szCs w:val="32"/>
        </w:rPr>
        <w:t>运行（项）。年初预算为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1.08</w:t>
      </w:r>
      <w:r>
        <w:rPr>
          <w:rFonts w:hint="default" w:ascii="Times New Roman" w:hAnsi="Times New Roman" w:eastAsia="仿宋_GB2312" w:cs="Times New Roman"/>
          <w:bCs/>
          <w:kern w:val="0"/>
          <w:sz w:val="32"/>
          <w:szCs w:val="32"/>
        </w:rPr>
        <w:t>万元。决算数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预算数的主要原因是</w:t>
      </w:r>
      <w:r>
        <w:rPr>
          <w:rFonts w:hint="eastAsia" w:eastAsia="仿宋_GB2312" w:cs="Times New Roman"/>
          <w:bCs/>
          <w:kern w:val="0"/>
          <w:sz w:val="32"/>
          <w:szCs w:val="32"/>
          <w:lang w:eastAsia="zh-CN"/>
        </w:rPr>
        <w:t>当年追加了</w:t>
      </w:r>
      <w:r>
        <w:rPr>
          <w:rFonts w:hint="eastAsia" w:eastAsia="仿宋_GB2312" w:cs="Times New Roman"/>
          <w:bCs/>
          <w:kern w:val="0"/>
          <w:sz w:val="32"/>
          <w:szCs w:val="32"/>
          <w:lang w:val="en-US" w:eastAsia="zh-CN"/>
        </w:rPr>
        <w:t>2019年度绩效考评奖励经费</w:t>
      </w:r>
      <w:r>
        <w:rPr>
          <w:rFonts w:hint="eastAsia" w:eastAsia="仿宋_GB2312" w:cs="Times New Roman"/>
          <w:bCs/>
          <w:kern w:val="0"/>
          <w:sz w:val="32"/>
          <w:szCs w:val="32"/>
          <w:lang w:eastAsia="zh-CN"/>
        </w:rPr>
        <w:t>及增人增资经费。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val="en-US" w:eastAsia="zh-CN"/>
        </w:rPr>
      </w:pPr>
      <w:r>
        <w:rPr>
          <w:rFonts w:hint="eastAsia" w:eastAsia="仿宋_GB2312" w:cs="Times New Roman"/>
          <w:bCs/>
          <w:kern w:val="0"/>
          <w:sz w:val="32"/>
          <w:szCs w:val="32"/>
          <w:lang w:val="en-US" w:eastAsia="zh-CN"/>
        </w:rPr>
        <w:t>7.</w:t>
      </w:r>
      <w:r>
        <w:rPr>
          <w:rFonts w:hint="default" w:ascii="Times New Roman" w:hAnsi="Times New Roman" w:eastAsia="仿宋_GB2312" w:cs="Times New Roman"/>
          <w:bCs/>
          <w:kern w:val="0"/>
          <w:sz w:val="32"/>
          <w:szCs w:val="32"/>
        </w:rPr>
        <w:t>社会保障和就业支出（类）行政事业单位养老支出（款）行政单位离退休（项）。年初预算为</w:t>
      </w:r>
      <w:r>
        <w:rPr>
          <w:rFonts w:hint="eastAsia" w:eastAsia="仿宋_GB2312" w:cs="Times New Roman"/>
          <w:bCs/>
          <w:kern w:val="0"/>
          <w:sz w:val="32"/>
          <w:szCs w:val="32"/>
          <w:lang w:val="en-US" w:eastAsia="zh-CN"/>
        </w:rPr>
        <w:t>11.2</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13.02</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102.97</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预算数的主要原因是使用</w:t>
      </w:r>
      <w:r>
        <w:rPr>
          <w:rFonts w:hint="eastAsia" w:eastAsia="仿宋_GB2312" w:cs="Times New Roman"/>
          <w:bCs/>
          <w:kern w:val="0"/>
          <w:sz w:val="32"/>
          <w:szCs w:val="32"/>
          <w:lang w:eastAsia="zh-CN"/>
        </w:rPr>
        <w:t>上</w:t>
      </w:r>
      <w:r>
        <w:rPr>
          <w:rFonts w:hint="default" w:ascii="Times New Roman" w:hAnsi="Times New Roman" w:eastAsia="仿宋_GB2312" w:cs="Times New Roman"/>
          <w:bCs/>
          <w:kern w:val="0"/>
          <w:sz w:val="32"/>
          <w:szCs w:val="32"/>
        </w:rPr>
        <w:t>年度财政拨款结转资金</w:t>
      </w:r>
      <w:r>
        <w:rPr>
          <w:rFonts w:hint="eastAsia" w:eastAsia="仿宋_GB2312" w:cs="Times New Roman"/>
          <w:bCs/>
          <w:kern w:val="0"/>
          <w:sz w:val="32"/>
          <w:szCs w:val="32"/>
          <w:lang w:eastAsia="zh-CN"/>
        </w:rPr>
        <w:t>补发了退休人员计生费。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8.</w:t>
      </w:r>
      <w:r>
        <w:rPr>
          <w:rFonts w:hint="default" w:ascii="Times New Roman" w:hAnsi="Times New Roman" w:eastAsia="仿宋_GB2312" w:cs="Times New Roman"/>
          <w:bCs/>
          <w:kern w:val="0"/>
          <w:sz w:val="32"/>
          <w:szCs w:val="32"/>
        </w:rPr>
        <w:t>社会保障和就业支出（类）行政事业单位养老支出（款）机关事业单位基本养老保险缴费支出（项）。年初预算为</w:t>
      </w:r>
      <w:r>
        <w:rPr>
          <w:rFonts w:hint="eastAsia" w:eastAsia="仿宋_GB2312" w:cs="Times New Roman"/>
          <w:bCs/>
          <w:kern w:val="0"/>
          <w:sz w:val="32"/>
          <w:szCs w:val="32"/>
          <w:lang w:val="en-US" w:eastAsia="zh-CN"/>
        </w:rPr>
        <w:t>35.41</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27.65</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78.09</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小于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年社保合计基数与预算数不一致产生的差异。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9.</w:t>
      </w:r>
      <w:r>
        <w:rPr>
          <w:rFonts w:hint="default" w:ascii="Times New Roman" w:hAnsi="Times New Roman" w:eastAsia="仿宋_GB2312" w:cs="Times New Roman"/>
          <w:bCs/>
          <w:kern w:val="0"/>
          <w:sz w:val="32"/>
          <w:szCs w:val="32"/>
        </w:rPr>
        <w:t>社会保障和就业支出（类）行政事业单位养老支出（款）机关事业单位职业年金缴费支出（项）。年初预算为</w:t>
      </w:r>
      <w:r>
        <w:rPr>
          <w:rFonts w:hint="eastAsia" w:eastAsia="仿宋_GB2312" w:cs="Times New Roman"/>
          <w:bCs/>
          <w:kern w:val="0"/>
          <w:sz w:val="32"/>
          <w:szCs w:val="32"/>
          <w:lang w:val="en-US" w:eastAsia="zh-CN"/>
        </w:rPr>
        <w:t>17.7</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12.97</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73.28</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小于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年社保合计基数与预算数不一致产生的差异。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10.</w:t>
      </w:r>
      <w:r>
        <w:rPr>
          <w:rFonts w:hint="default" w:ascii="Times New Roman" w:hAnsi="Times New Roman" w:eastAsia="仿宋_GB2312" w:cs="Times New Roman"/>
          <w:bCs/>
          <w:kern w:val="0"/>
          <w:sz w:val="32"/>
          <w:szCs w:val="32"/>
        </w:rPr>
        <w:t>卫生健康支出（类）公共卫生（款）重大公共卫生服务（项）。年初预算为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4.87</w:t>
      </w:r>
      <w:r>
        <w:rPr>
          <w:rFonts w:hint="default" w:ascii="Times New Roman" w:hAnsi="Times New Roman" w:eastAsia="仿宋_GB2312" w:cs="Times New Roman"/>
          <w:bCs/>
          <w:kern w:val="0"/>
          <w:sz w:val="32"/>
          <w:szCs w:val="32"/>
        </w:rPr>
        <w:t>万元。决算数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预算数的主要原因使用</w:t>
      </w:r>
      <w:r>
        <w:rPr>
          <w:rFonts w:hint="eastAsia" w:eastAsia="仿宋_GB2312" w:cs="Times New Roman"/>
          <w:bCs/>
          <w:kern w:val="0"/>
          <w:sz w:val="32"/>
          <w:szCs w:val="32"/>
          <w:lang w:eastAsia="zh-CN"/>
        </w:rPr>
        <w:t>上</w:t>
      </w:r>
      <w:r>
        <w:rPr>
          <w:rFonts w:hint="default" w:ascii="Times New Roman" w:hAnsi="Times New Roman" w:eastAsia="仿宋_GB2312" w:cs="Times New Roman"/>
          <w:bCs/>
          <w:kern w:val="0"/>
          <w:sz w:val="32"/>
          <w:szCs w:val="32"/>
        </w:rPr>
        <w:t>年度财政拨款结转资金</w:t>
      </w:r>
      <w:r>
        <w:rPr>
          <w:rFonts w:hint="eastAsia" w:eastAsia="仿宋_GB2312" w:cs="Times New Roman"/>
          <w:bCs/>
          <w:kern w:val="0"/>
          <w:sz w:val="32"/>
          <w:szCs w:val="32"/>
          <w:lang w:eastAsia="zh-CN"/>
        </w:rPr>
        <w:t>支付市群众信访服务中心心理咨询室配套相关。</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11.</w:t>
      </w:r>
      <w:r>
        <w:rPr>
          <w:rFonts w:hint="default" w:ascii="Times New Roman" w:hAnsi="Times New Roman" w:eastAsia="仿宋_GB2312" w:cs="Times New Roman"/>
          <w:bCs/>
          <w:kern w:val="0"/>
          <w:sz w:val="32"/>
          <w:szCs w:val="32"/>
        </w:rPr>
        <w:t>卫生健康支出（类）行政事业单位医疗（款）行政单位医疗（项）。年初预算为</w:t>
      </w:r>
      <w:r>
        <w:rPr>
          <w:rFonts w:hint="eastAsia" w:eastAsia="仿宋_GB2312" w:cs="Times New Roman"/>
          <w:bCs/>
          <w:kern w:val="0"/>
          <w:sz w:val="32"/>
          <w:szCs w:val="32"/>
          <w:lang w:val="en-US" w:eastAsia="zh-CN"/>
        </w:rPr>
        <w:t>15.64</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11.96</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76.47</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小于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年社保合计基数与预算数不一致产生的差异。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eastAsia="zh-CN"/>
        </w:rPr>
      </w:pPr>
      <w:r>
        <w:rPr>
          <w:rFonts w:hint="eastAsia" w:eastAsia="仿宋_GB2312" w:cs="Times New Roman"/>
          <w:bCs/>
          <w:kern w:val="0"/>
          <w:sz w:val="32"/>
          <w:szCs w:val="32"/>
          <w:lang w:val="en-US" w:eastAsia="zh-CN"/>
        </w:rPr>
        <w:t>12.</w:t>
      </w:r>
      <w:r>
        <w:rPr>
          <w:rFonts w:hint="default" w:ascii="Times New Roman" w:hAnsi="Times New Roman" w:eastAsia="仿宋_GB2312" w:cs="Times New Roman"/>
          <w:bCs/>
          <w:kern w:val="0"/>
          <w:sz w:val="32"/>
          <w:szCs w:val="32"/>
        </w:rPr>
        <w:t>卫生健康支出（类）行政事业单位医疗（款）</w:t>
      </w:r>
      <w:r>
        <w:rPr>
          <w:rFonts w:hint="eastAsia" w:eastAsia="仿宋_GB2312" w:cs="Times New Roman"/>
          <w:bCs/>
          <w:kern w:val="0"/>
          <w:sz w:val="32"/>
          <w:szCs w:val="32"/>
          <w:lang w:eastAsia="zh-CN"/>
        </w:rPr>
        <w:t>事业</w:t>
      </w:r>
      <w:r>
        <w:rPr>
          <w:rFonts w:hint="default" w:ascii="Times New Roman" w:hAnsi="Times New Roman" w:eastAsia="仿宋_GB2312" w:cs="Times New Roman"/>
          <w:bCs/>
          <w:kern w:val="0"/>
          <w:sz w:val="32"/>
          <w:szCs w:val="32"/>
        </w:rPr>
        <w:t>单位医疗（项）。年初预算为</w:t>
      </w:r>
      <w:r>
        <w:rPr>
          <w:rFonts w:hint="eastAsia" w:eastAsia="仿宋_GB2312" w:cs="Times New Roman"/>
          <w:bCs/>
          <w:kern w:val="0"/>
          <w:sz w:val="32"/>
          <w:szCs w:val="32"/>
          <w:lang w:val="en-US" w:eastAsia="zh-CN"/>
        </w:rPr>
        <w:t>0.98</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1.23</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125.51</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当年追加</w:t>
      </w:r>
      <w:r>
        <w:rPr>
          <w:rFonts w:hint="eastAsia" w:eastAsia="仿宋_GB2312" w:cs="Times New Roman"/>
          <w:bCs/>
          <w:kern w:val="0"/>
          <w:sz w:val="32"/>
          <w:szCs w:val="32"/>
          <w:lang w:val="en-US" w:eastAsia="zh-CN"/>
        </w:rPr>
        <w:t>2020年增人增资经费</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eastAsia="仿宋_GB2312" w:cs="Times New Roman"/>
          <w:bCs/>
          <w:kern w:val="0"/>
          <w:sz w:val="32"/>
          <w:szCs w:val="32"/>
          <w:lang w:val="en-US" w:eastAsia="zh-CN"/>
        </w:rPr>
      </w:pPr>
      <w:r>
        <w:rPr>
          <w:rFonts w:hint="eastAsia" w:eastAsia="仿宋_GB2312" w:cs="Times New Roman"/>
          <w:bCs/>
          <w:kern w:val="0"/>
          <w:sz w:val="32"/>
          <w:szCs w:val="32"/>
          <w:lang w:val="en-US" w:eastAsia="zh-CN"/>
        </w:rPr>
        <w:t>13.</w:t>
      </w:r>
      <w:r>
        <w:rPr>
          <w:rFonts w:hint="default" w:ascii="Times New Roman" w:hAnsi="Times New Roman" w:eastAsia="仿宋_GB2312" w:cs="Times New Roman"/>
          <w:bCs/>
          <w:kern w:val="0"/>
          <w:sz w:val="32"/>
          <w:szCs w:val="32"/>
        </w:rPr>
        <w:t>卫生健康支出（类）行政事业单位医疗（款）</w:t>
      </w:r>
      <w:r>
        <w:rPr>
          <w:rFonts w:hint="eastAsia" w:eastAsia="仿宋_GB2312" w:cs="Times New Roman"/>
          <w:bCs/>
          <w:kern w:val="0"/>
          <w:sz w:val="32"/>
          <w:szCs w:val="32"/>
          <w:lang w:eastAsia="zh-CN"/>
        </w:rPr>
        <w:t>公务员医疗补助</w:t>
      </w:r>
      <w:r>
        <w:rPr>
          <w:rFonts w:hint="default" w:ascii="Times New Roman" w:hAnsi="Times New Roman" w:eastAsia="仿宋_GB2312" w:cs="Times New Roman"/>
          <w:bCs/>
          <w:kern w:val="0"/>
          <w:sz w:val="32"/>
          <w:szCs w:val="32"/>
        </w:rPr>
        <w:t>（项）。年初预算为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15.37</w:t>
      </w:r>
      <w:r>
        <w:rPr>
          <w:rFonts w:hint="default" w:ascii="Times New Roman" w:hAnsi="Times New Roman" w:eastAsia="仿宋_GB2312" w:cs="Times New Roman"/>
          <w:bCs/>
          <w:kern w:val="0"/>
          <w:sz w:val="32"/>
          <w:szCs w:val="32"/>
        </w:rPr>
        <w:t>万元。决算数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当年追加</w:t>
      </w:r>
      <w:r>
        <w:rPr>
          <w:rFonts w:hint="eastAsia" w:eastAsia="仿宋_GB2312" w:cs="Times New Roman"/>
          <w:bCs/>
          <w:kern w:val="0"/>
          <w:sz w:val="32"/>
          <w:szCs w:val="32"/>
          <w:lang w:val="en-US" w:eastAsia="zh-CN"/>
        </w:rPr>
        <w:t>2020年公务员医疗补助经费。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eastAsia="仿宋_GB2312" w:cs="Times New Roman"/>
          <w:bCs/>
          <w:kern w:val="0"/>
          <w:sz w:val="32"/>
          <w:szCs w:val="32"/>
          <w:lang w:val="en-US" w:eastAsia="zh-CN"/>
        </w:rPr>
      </w:pPr>
      <w:r>
        <w:rPr>
          <w:rFonts w:hint="eastAsia" w:eastAsia="仿宋_GB2312" w:cs="Times New Roman"/>
          <w:bCs/>
          <w:kern w:val="0"/>
          <w:sz w:val="32"/>
          <w:szCs w:val="32"/>
          <w:lang w:val="en-US" w:eastAsia="zh-CN"/>
        </w:rPr>
        <w:t>14.</w:t>
      </w:r>
      <w:r>
        <w:rPr>
          <w:rFonts w:hint="default" w:ascii="Times New Roman" w:hAnsi="Times New Roman" w:eastAsia="仿宋_GB2312" w:cs="Times New Roman"/>
          <w:bCs/>
          <w:kern w:val="0"/>
          <w:sz w:val="32"/>
          <w:szCs w:val="32"/>
        </w:rPr>
        <w:t>住房保障支出（类）住房改革支出（款）</w:t>
      </w:r>
      <w:r>
        <w:rPr>
          <w:rFonts w:hint="eastAsia" w:eastAsia="仿宋_GB2312" w:cs="Times New Roman"/>
          <w:bCs/>
          <w:kern w:val="0"/>
          <w:sz w:val="32"/>
          <w:szCs w:val="32"/>
          <w:lang w:eastAsia="zh-CN"/>
        </w:rPr>
        <w:t>住房公积金</w:t>
      </w:r>
      <w:r>
        <w:rPr>
          <w:rFonts w:hint="default" w:ascii="Times New Roman" w:hAnsi="Times New Roman" w:eastAsia="仿宋_GB2312" w:cs="Times New Roman"/>
          <w:bCs/>
          <w:kern w:val="0"/>
          <w:sz w:val="32"/>
          <w:szCs w:val="32"/>
        </w:rPr>
        <w:t>（项）。年初预算为</w:t>
      </w:r>
      <w:r>
        <w:rPr>
          <w:rFonts w:hint="eastAsia" w:eastAsia="仿宋_GB2312" w:cs="Times New Roman"/>
          <w:bCs/>
          <w:kern w:val="0"/>
          <w:sz w:val="32"/>
          <w:szCs w:val="32"/>
          <w:lang w:val="en-US" w:eastAsia="zh-CN"/>
        </w:rPr>
        <w:t>26.56</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28.02</w:t>
      </w:r>
      <w:r>
        <w:rPr>
          <w:rFonts w:hint="default" w:ascii="Times New Roman" w:hAnsi="Times New Roman" w:eastAsia="仿宋_GB2312" w:cs="Times New Roman"/>
          <w:bCs/>
          <w:kern w:val="0"/>
          <w:sz w:val="32"/>
          <w:szCs w:val="32"/>
        </w:rPr>
        <w:t>万元，完成年初预算的</w:t>
      </w:r>
      <w:r>
        <w:rPr>
          <w:rFonts w:hint="eastAsia" w:eastAsia="仿宋_GB2312" w:cs="Times New Roman"/>
          <w:bCs/>
          <w:kern w:val="0"/>
          <w:sz w:val="32"/>
          <w:szCs w:val="32"/>
          <w:lang w:val="en-US" w:eastAsia="zh-CN"/>
        </w:rPr>
        <w:t>105.5</w:t>
      </w:r>
      <w:r>
        <w:rPr>
          <w:rFonts w:hint="default" w:ascii="Times New Roman" w:hAnsi="Times New Roman" w:eastAsia="仿宋_GB2312" w:cs="Times New Roman"/>
          <w:bCs/>
          <w:kern w:val="0"/>
          <w:sz w:val="32"/>
          <w:szCs w:val="32"/>
        </w:rPr>
        <w:t>%。决算数</w:t>
      </w:r>
      <w:r>
        <w:rPr>
          <w:rFonts w:hint="eastAsia" w:eastAsia="仿宋_GB2312" w:cs="Times New Roman"/>
          <w:bCs/>
          <w:kern w:val="0"/>
          <w:sz w:val="32"/>
          <w:szCs w:val="32"/>
          <w:lang w:eastAsia="zh-CN"/>
        </w:rPr>
        <w:t>大于</w:t>
      </w:r>
      <w:r>
        <w:rPr>
          <w:rFonts w:hint="default" w:ascii="Times New Roman" w:hAnsi="Times New Roman" w:eastAsia="仿宋_GB2312" w:cs="Times New Roman"/>
          <w:bCs/>
          <w:kern w:val="0"/>
          <w:sz w:val="32"/>
          <w:szCs w:val="32"/>
        </w:rPr>
        <w:t>预算数的主要原因</w:t>
      </w:r>
      <w:r>
        <w:rPr>
          <w:rFonts w:hint="eastAsia" w:eastAsia="仿宋_GB2312" w:cs="Times New Roman"/>
          <w:bCs/>
          <w:kern w:val="0"/>
          <w:sz w:val="32"/>
          <w:szCs w:val="32"/>
          <w:lang w:eastAsia="zh-CN"/>
        </w:rPr>
        <w:t>当年追加</w:t>
      </w:r>
      <w:r>
        <w:rPr>
          <w:rFonts w:hint="eastAsia" w:eastAsia="仿宋_GB2312" w:cs="Times New Roman"/>
          <w:bCs/>
          <w:kern w:val="0"/>
          <w:sz w:val="32"/>
          <w:szCs w:val="32"/>
          <w:lang w:val="en-US" w:eastAsia="zh-CN"/>
        </w:rPr>
        <w:t>2020年增人增资经费。</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bCs w:val="0"/>
          <w:kern w:val="0"/>
          <w:sz w:val="32"/>
          <w:szCs w:val="32"/>
        </w:rPr>
        <w:t>六、2020年度</w:t>
      </w:r>
      <w:r>
        <w:rPr>
          <w:rFonts w:hint="default" w:ascii="Times New Roman" w:hAnsi="Times New Roman" w:eastAsia="仿宋_GB2312" w:cs="Times New Roman"/>
          <w:b/>
          <w:kern w:val="0"/>
          <w:sz w:val="32"/>
          <w:szCs w:val="32"/>
        </w:rPr>
        <w:t>一般公共预算财政拨款基本支出决算情况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2020年度财政拨款基本支出</w:t>
      </w:r>
      <w:r>
        <w:rPr>
          <w:rFonts w:hint="eastAsia" w:eastAsia="仿宋_GB2312" w:cs="Times New Roman"/>
          <w:bCs/>
          <w:kern w:val="0"/>
          <w:sz w:val="32"/>
          <w:szCs w:val="32"/>
          <w:lang w:val="en-US" w:eastAsia="zh-CN"/>
        </w:rPr>
        <w:t>355.19</w:t>
      </w:r>
      <w:r>
        <w:rPr>
          <w:rFonts w:hint="default" w:ascii="Times New Roman" w:hAnsi="Times New Roman" w:eastAsia="仿宋_GB2312" w:cs="Times New Roman"/>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人员经费</w:t>
      </w:r>
      <w:r>
        <w:rPr>
          <w:rFonts w:hint="eastAsia" w:eastAsia="仿宋_GB2312" w:cs="Times New Roman"/>
          <w:bCs/>
          <w:kern w:val="0"/>
          <w:sz w:val="32"/>
          <w:szCs w:val="32"/>
          <w:lang w:val="en-US" w:eastAsia="zh-CN"/>
        </w:rPr>
        <w:t>321.97</w:t>
      </w:r>
      <w:r>
        <w:rPr>
          <w:rFonts w:hint="default" w:ascii="Times New Roman" w:hAnsi="Times New Roman" w:eastAsia="仿宋_GB2312" w:cs="Times New Roman"/>
          <w:bCs/>
          <w:kern w:val="0"/>
          <w:sz w:val="32"/>
          <w:szCs w:val="32"/>
        </w:rPr>
        <w:t>万元，主要包括：基本工资、津贴补贴、 奖金、绩效工资、机关事业单位基本养老保险缴费、职业年金缴费、其他社会保障缴费、其他工资福利支出、退休费、抚恤金、生活补助、医疗费、奖励金、住房公积金；</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公用经费</w:t>
      </w:r>
      <w:r>
        <w:rPr>
          <w:rFonts w:hint="eastAsia" w:eastAsia="仿宋_GB2312" w:cs="Times New Roman"/>
          <w:bCs/>
          <w:kern w:val="0"/>
          <w:sz w:val="32"/>
          <w:szCs w:val="32"/>
          <w:lang w:val="en-US" w:eastAsia="zh-CN"/>
        </w:rPr>
        <w:t>33.22</w:t>
      </w:r>
      <w:r>
        <w:rPr>
          <w:rFonts w:hint="default" w:ascii="Times New Roman" w:hAnsi="Times New Roman" w:eastAsia="仿宋_GB2312" w:cs="Times New Roman"/>
          <w:bCs/>
          <w:kern w:val="0"/>
          <w:sz w:val="32"/>
          <w:szCs w:val="32"/>
        </w:rPr>
        <w:t>万元，主要包括：办公费、印刷费、水费、电费、邮电 费、物业管理费、差旅费、维修（护）费、会议费、培训费、公务接待费、劳务费、工会经费、其他商品和服务支出</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
          <w:bCs w:val="0"/>
          <w:kern w:val="0"/>
          <w:sz w:val="32"/>
          <w:szCs w:val="32"/>
        </w:rPr>
        <w:t xml:space="preserve">七、2020 </w:t>
      </w:r>
      <w:r>
        <w:rPr>
          <w:rFonts w:hint="default" w:ascii="Times New Roman" w:hAnsi="Times New Roman" w:eastAsia="仿宋_GB2312" w:cs="Times New Roman"/>
          <w:b/>
          <w:kern w:val="0"/>
          <w:sz w:val="32"/>
          <w:szCs w:val="32"/>
        </w:rPr>
        <w:t>年度一般公共预算财政拨款“三公” 经费支出决算情况</w:t>
      </w:r>
      <w:r>
        <w:rPr>
          <w:rFonts w:hint="default" w:ascii="Times New Roman" w:hAnsi="Times New Roman" w:eastAsia="仿宋_GB2312" w:cs="Times New Roman"/>
          <w:bCs/>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（一）“三公”经费财政拨款支出决算总体情况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 年度“三公”经费财政拨款支出预算为</w:t>
      </w:r>
      <w:r>
        <w:rPr>
          <w:rFonts w:hint="eastAsia" w:eastAsia="仿宋_GB2312" w:cs="Times New Roman"/>
          <w:bCs/>
          <w:kern w:val="0"/>
          <w:sz w:val="32"/>
          <w:szCs w:val="32"/>
          <w:lang w:val="en-US" w:eastAsia="zh-CN"/>
        </w:rPr>
        <w:t>1.93</w:t>
      </w:r>
      <w:r>
        <w:rPr>
          <w:rFonts w:hint="default" w:ascii="Times New Roman" w:hAnsi="Times New Roman" w:eastAsia="仿宋_GB2312" w:cs="Times New Roman"/>
          <w:bCs/>
          <w:kern w:val="0"/>
          <w:sz w:val="32"/>
          <w:szCs w:val="32"/>
        </w:rPr>
        <w:t>万元，支出决算为</w:t>
      </w:r>
      <w:r>
        <w:rPr>
          <w:rFonts w:hint="eastAsia" w:eastAsia="仿宋_GB2312" w:cs="Times New Roman"/>
          <w:bCs/>
          <w:kern w:val="0"/>
          <w:sz w:val="32"/>
          <w:szCs w:val="32"/>
          <w:lang w:val="en-US" w:eastAsia="zh-CN"/>
        </w:rPr>
        <w:t>0.71</w:t>
      </w:r>
      <w:r>
        <w:rPr>
          <w:rFonts w:hint="default" w:ascii="Times New Roman" w:hAnsi="Times New Roman" w:eastAsia="仿宋_GB2312" w:cs="Times New Roman"/>
          <w:bCs/>
          <w:kern w:val="0"/>
          <w:sz w:val="32"/>
          <w:szCs w:val="32"/>
        </w:rPr>
        <w:t>万元，完成预算的</w:t>
      </w:r>
      <w:r>
        <w:rPr>
          <w:rFonts w:hint="eastAsia" w:eastAsia="仿宋_GB2312" w:cs="Times New Roman"/>
          <w:bCs/>
          <w:kern w:val="0"/>
          <w:sz w:val="32"/>
          <w:szCs w:val="32"/>
          <w:lang w:val="en-US" w:eastAsia="zh-CN"/>
        </w:rPr>
        <w:t>36.79</w:t>
      </w:r>
      <w:r>
        <w:rPr>
          <w:rFonts w:hint="default" w:ascii="Times New Roman" w:hAnsi="Times New Roman" w:eastAsia="仿宋_GB2312" w:cs="Times New Roman"/>
          <w:bCs/>
          <w:kern w:val="0"/>
          <w:sz w:val="32"/>
          <w:szCs w:val="32"/>
        </w:rPr>
        <w:t>%，其中：因公出国（境）费支出决算为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%；公务用车购置及运行费支出决算为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万元，完成预算的</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%；公务接待费支出决算为</w:t>
      </w:r>
      <w:r>
        <w:rPr>
          <w:rFonts w:hint="eastAsia" w:eastAsia="仿宋_GB2312" w:cs="Times New Roman"/>
          <w:bCs/>
          <w:kern w:val="0"/>
          <w:sz w:val="32"/>
          <w:szCs w:val="32"/>
          <w:lang w:val="en-US" w:eastAsia="zh-CN"/>
        </w:rPr>
        <w:t>0.71</w:t>
      </w:r>
      <w:r>
        <w:rPr>
          <w:rFonts w:hint="default" w:ascii="Times New Roman" w:hAnsi="Times New Roman" w:eastAsia="仿宋_GB2312" w:cs="Times New Roman"/>
          <w:bCs/>
          <w:kern w:val="0"/>
          <w:sz w:val="32"/>
          <w:szCs w:val="32"/>
        </w:rPr>
        <w:t>万元，完成预算的</w:t>
      </w:r>
      <w:r>
        <w:rPr>
          <w:rFonts w:hint="eastAsia" w:eastAsia="仿宋_GB2312" w:cs="Times New Roman"/>
          <w:bCs/>
          <w:kern w:val="0"/>
          <w:sz w:val="32"/>
          <w:szCs w:val="32"/>
          <w:lang w:val="en-US" w:eastAsia="zh-CN"/>
        </w:rPr>
        <w:t>36.79</w:t>
      </w:r>
      <w:r>
        <w:rPr>
          <w:rFonts w:hint="default" w:ascii="Times New Roman" w:hAnsi="Times New Roman" w:eastAsia="仿宋_GB2312" w:cs="Times New Roman"/>
          <w:bCs/>
          <w:kern w:val="0"/>
          <w:sz w:val="32"/>
          <w:szCs w:val="32"/>
        </w:rPr>
        <w:t>%。2020年度“三公”经费支出决算数小于预算数的主要原因是认真贯彻落实中央“八项规定”精神和厉行节约要求，进一步从严控制“三公”经费开支，全年实际支出比预算有所节约</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2020年度“三公”经费财政拨款支出决算数比2019年减少</w:t>
      </w:r>
      <w:r>
        <w:rPr>
          <w:rFonts w:hint="eastAsia" w:eastAsia="仿宋_GB2312" w:cs="Times New Roman"/>
          <w:bCs/>
          <w:kern w:val="0"/>
          <w:sz w:val="32"/>
          <w:szCs w:val="32"/>
          <w:lang w:val="en-US" w:eastAsia="zh-CN"/>
        </w:rPr>
        <w:t>0.21</w:t>
      </w:r>
      <w:r>
        <w:rPr>
          <w:rFonts w:hint="default" w:ascii="Times New Roman" w:hAnsi="Times New Roman" w:eastAsia="仿宋_GB2312" w:cs="Times New Roman"/>
          <w:bCs/>
          <w:kern w:val="0"/>
          <w:sz w:val="32"/>
          <w:szCs w:val="32"/>
        </w:rPr>
        <w:t>万元，下降</w:t>
      </w:r>
      <w:r>
        <w:rPr>
          <w:rFonts w:hint="eastAsia" w:eastAsia="仿宋_GB2312" w:cs="Times New Roman"/>
          <w:bCs/>
          <w:kern w:val="0"/>
          <w:sz w:val="32"/>
          <w:szCs w:val="32"/>
          <w:lang w:val="en-US" w:eastAsia="zh-CN"/>
        </w:rPr>
        <w:t>22.83</w:t>
      </w:r>
      <w:r>
        <w:rPr>
          <w:rFonts w:hint="default" w:ascii="Times New Roman" w:hAnsi="Times New Roman" w:eastAsia="仿宋_GB2312" w:cs="Times New Roman"/>
          <w:bCs/>
          <w:kern w:val="0"/>
          <w:sz w:val="32"/>
          <w:szCs w:val="32"/>
        </w:rPr>
        <w:t>%，其中：因公出国（境）费支出决 算减少</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%；公务用车购置及运行费支出决算减少</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万元，下降</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%；公务接待费支出决算减少</w:t>
      </w:r>
      <w:r>
        <w:rPr>
          <w:rFonts w:hint="eastAsia" w:eastAsia="仿宋_GB2312" w:cs="Times New Roman"/>
          <w:bCs/>
          <w:kern w:val="0"/>
          <w:sz w:val="32"/>
          <w:szCs w:val="32"/>
          <w:lang w:val="en-US" w:eastAsia="zh-CN"/>
        </w:rPr>
        <w:t>0.21</w:t>
      </w:r>
      <w:r>
        <w:rPr>
          <w:rFonts w:hint="default" w:ascii="Times New Roman" w:hAnsi="Times New Roman" w:eastAsia="仿宋_GB2312" w:cs="Times New Roman"/>
          <w:bCs/>
          <w:kern w:val="0"/>
          <w:sz w:val="32"/>
          <w:szCs w:val="32"/>
        </w:rPr>
        <w:t>万元，下降</w:t>
      </w:r>
      <w:r>
        <w:rPr>
          <w:rFonts w:hint="eastAsia" w:eastAsia="仿宋_GB2312" w:cs="Times New Roman"/>
          <w:bCs/>
          <w:kern w:val="0"/>
          <w:sz w:val="32"/>
          <w:szCs w:val="32"/>
          <w:lang w:val="en-US" w:eastAsia="zh-CN"/>
        </w:rPr>
        <w:t>22.83</w:t>
      </w:r>
      <w:r>
        <w:rPr>
          <w:rFonts w:hint="default"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r>
        <w:rPr>
          <w:rFonts w:hint="eastAsia" w:eastAsia="仿宋_GB2312" w:cs="Times New Roman"/>
          <w:bCs/>
          <w:kern w:val="0"/>
          <w:sz w:val="32"/>
          <w:szCs w:val="32"/>
          <w:lang w:eastAsia="zh-CN"/>
        </w:rPr>
        <w:t>无</w:t>
      </w:r>
      <w:r>
        <w:rPr>
          <w:rFonts w:hint="default" w:ascii="Times New Roman" w:hAnsi="Times New Roman" w:eastAsia="仿宋_GB2312" w:cs="Times New Roman"/>
          <w:bCs/>
          <w:kern w:val="0"/>
          <w:sz w:val="32"/>
          <w:szCs w:val="32"/>
        </w:rPr>
        <w:t>因公出国（境）费支出</w:t>
      </w:r>
      <w:r>
        <w:rPr>
          <w:rFonts w:hint="eastAsia" w:eastAsia="仿宋_GB2312" w:cs="Times New Roman"/>
          <w:bCs/>
          <w:kern w:val="0"/>
          <w:sz w:val="32"/>
          <w:szCs w:val="32"/>
          <w:lang w:eastAsia="zh-CN"/>
        </w:rPr>
        <w:t>、</w:t>
      </w:r>
      <w:r>
        <w:rPr>
          <w:rFonts w:hint="default" w:ascii="Times New Roman" w:hAnsi="Times New Roman" w:eastAsia="仿宋_GB2312" w:cs="Times New Roman"/>
          <w:bCs/>
          <w:kern w:val="0"/>
          <w:sz w:val="32"/>
          <w:szCs w:val="32"/>
        </w:rPr>
        <w:t>公务用车购置及运行费支出；公务接待费支出减少的主要原因是</w:t>
      </w:r>
      <w:r>
        <w:rPr>
          <w:rFonts w:hint="eastAsia" w:eastAsia="仿宋_GB2312" w:cs="Times New Roman"/>
          <w:bCs/>
          <w:kern w:val="0"/>
          <w:sz w:val="32"/>
          <w:szCs w:val="32"/>
          <w:lang w:eastAsia="zh-CN"/>
        </w:rPr>
        <w:t>降低接待成本，减少不必要开支</w:t>
      </w:r>
      <w:r>
        <w:rPr>
          <w:rFonts w:hint="default"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（二）“三公”经费财政拨款支出决算具体情况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2020年度“三公”经费财政拨款支出决算中，因公出国（境）费支出决算</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%；公务用车购置及运行费 支出决算</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%；公务接待费支出决算</w:t>
      </w:r>
      <w:r>
        <w:rPr>
          <w:rFonts w:hint="eastAsia" w:eastAsia="仿宋_GB2312" w:cs="Times New Roman"/>
          <w:bCs/>
          <w:kern w:val="0"/>
          <w:sz w:val="32"/>
          <w:szCs w:val="32"/>
          <w:lang w:val="en-US" w:eastAsia="zh-CN"/>
        </w:rPr>
        <w:t>0.71</w:t>
      </w:r>
      <w:r>
        <w:rPr>
          <w:rFonts w:hint="default" w:ascii="Times New Roman" w:hAnsi="Times New Roman" w:eastAsia="仿宋_GB2312" w:cs="Times New Roman"/>
          <w:bCs/>
          <w:kern w:val="0"/>
          <w:sz w:val="32"/>
          <w:szCs w:val="32"/>
        </w:rPr>
        <w:t>万元，占</w:t>
      </w:r>
      <w:r>
        <w:rPr>
          <w:rFonts w:hint="eastAsia" w:eastAsia="仿宋_GB2312" w:cs="Times New Roman"/>
          <w:bCs/>
          <w:kern w:val="0"/>
          <w:sz w:val="32"/>
          <w:szCs w:val="32"/>
          <w:lang w:val="en-US" w:eastAsia="zh-CN"/>
        </w:rPr>
        <w:t>100</w:t>
      </w:r>
      <w:r>
        <w:rPr>
          <w:rFonts w:hint="default" w:ascii="Times New Roman" w:hAnsi="Times New Roman" w:eastAsia="仿宋_GB2312" w:cs="Times New Roman"/>
          <w:bCs/>
          <w:kern w:val="0"/>
          <w:sz w:val="32"/>
          <w:szCs w:val="32"/>
        </w:rPr>
        <w:t xml:space="preserve">%。具体情况如下：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1.因公出国（境）费支出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万元。全年安排机关和所属单位因公出国 （境）团组</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个，累计</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人次。</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eastAsia="仿宋_GB2312" w:cs="Times New Roman"/>
          <w:bCs/>
          <w:kern w:val="0"/>
          <w:sz w:val="32"/>
          <w:szCs w:val="32"/>
          <w:lang w:eastAsia="zh-CN"/>
        </w:rPr>
      </w:pPr>
      <w:r>
        <w:rPr>
          <w:rFonts w:hint="default" w:ascii="Times New Roman" w:hAnsi="Times New Roman" w:eastAsia="仿宋_GB2312" w:cs="Times New Roman"/>
          <w:bCs/>
          <w:kern w:val="0"/>
          <w:sz w:val="32"/>
          <w:szCs w:val="32"/>
        </w:rPr>
        <w:t>2.公务用车购置及运行费支出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万元。其中： 公务用车购置支出为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万元。公务用车运行支出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2020年，机关所属单位开支财政拨款的公务用车保有量为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辆</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3.公务接待费支出</w:t>
      </w:r>
      <w:r>
        <w:rPr>
          <w:rFonts w:hint="eastAsia" w:eastAsia="仿宋_GB2312" w:cs="Times New Roman"/>
          <w:bCs/>
          <w:kern w:val="0"/>
          <w:sz w:val="32"/>
          <w:szCs w:val="32"/>
          <w:lang w:val="en-US" w:eastAsia="zh-CN"/>
        </w:rPr>
        <w:t>0.71</w:t>
      </w:r>
      <w:r>
        <w:rPr>
          <w:rFonts w:hint="default" w:ascii="Times New Roman" w:hAnsi="Times New Roman" w:eastAsia="仿宋_GB2312" w:cs="Times New Roman"/>
          <w:bCs/>
          <w:kern w:val="0"/>
          <w:sz w:val="32"/>
          <w:szCs w:val="32"/>
        </w:rPr>
        <w:t>万元。其中：</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外宾接待支出</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万元。2020 年共接待国（境）外来访团组</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个、来访外宾</w:t>
      </w:r>
      <w:r>
        <w:rPr>
          <w:rFonts w:hint="eastAsia" w:eastAsia="仿宋_GB2312" w:cs="Times New Roman"/>
          <w:bCs/>
          <w:kern w:val="0"/>
          <w:sz w:val="32"/>
          <w:szCs w:val="32"/>
          <w:lang w:val="en-US" w:eastAsia="zh-CN"/>
        </w:rPr>
        <w:t>0</w:t>
      </w:r>
      <w:r>
        <w:rPr>
          <w:rFonts w:hint="default" w:ascii="Times New Roman" w:hAnsi="Times New Roman" w:eastAsia="仿宋_GB2312" w:cs="Times New Roman"/>
          <w:bCs/>
          <w:kern w:val="0"/>
          <w:sz w:val="32"/>
          <w:szCs w:val="32"/>
        </w:rPr>
        <w:t xml:space="preserve">人次。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jc w:val="both"/>
        <w:textAlignment w:val="auto"/>
        <w:rPr>
          <w:rFonts w:hint="eastAsia" w:ascii="Times New Roman" w:hAnsi="Times New Roman" w:eastAsia="仿宋_GB2312" w:cs="Times New Roman"/>
          <w:bCs/>
          <w:kern w:val="0"/>
          <w:sz w:val="32"/>
          <w:szCs w:val="32"/>
          <w:lang w:eastAsia="zh-CN"/>
        </w:rPr>
      </w:pPr>
      <w:r>
        <w:rPr>
          <w:rFonts w:hint="default" w:ascii="Times New Roman" w:hAnsi="Times New Roman" w:eastAsia="仿宋_GB2312" w:cs="Times New Roman"/>
          <w:bCs/>
          <w:kern w:val="0"/>
          <w:sz w:val="32"/>
          <w:szCs w:val="32"/>
        </w:rPr>
        <w:t>国内公务接待支出</w:t>
      </w:r>
      <w:r>
        <w:rPr>
          <w:rFonts w:hint="eastAsia" w:eastAsia="仿宋_GB2312" w:cs="Times New Roman"/>
          <w:bCs/>
          <w:kern w:val="0"/>
          <w:sz w:val="32"/>
          <w:szCs w:val="32"/>
          <w:lang w:val="en-US" w:eastAsia="zh-CN"/>
        </w:rPr>
        <w:t>0.71</w:t>
      </w:r>
      <w:r>
        <w:rPr>
          <w:rFonts w:hint="default" w:ascii="Times New Roman" w:hAnsi="Times New Roman" w:eastAsia="仿宋_GB2312" w:cs="Times New Roman"/>
          <w:bCs/>
          <w:kern w:val="0"/>
          <w:sz w:val="32"/>
          <w:szCs w:val="32"/>
        </w:rPr>
        <w:t>万元。主要用于</w:t>
      </w:r>
      <w:r>
        <w:rPr>
          <w:rFonts w:hint="eastAsia" w:eastAsia="仿宋_GB2312" w:cs="Times New Roman"/>
          <w:bCs/>
          <w:kern w:val="0"/>
          <w:sz w:val="32"/>
          <w:szCs w:val="32"/>
          <w:lang w:eastAsia="zh-CN"/>
        </w:rPr>
        <w:t>接待自治区信访局到我市开展调研及案件督查督办工作</w:t>
      </w:r>
      <w:r>
        <w:rPr>
          <w:rFonts w:hint="default" w:ascii="Times New Roman" w:hAnsi="Times New Roman" w:eastAsia="仿宋_GB2312" w:cs="Times New Roman"/>
          <w:bCs/>
          <w:kern w:val="0"/>
          <w:sz w:val="32"/>
          <w:szCs w:val="32"/>
        </w:rPr>
        <w:t>。2020 年共接待国内来访团组</w:t>
      </w:r>
      <w:r>
        <w:rPr>
          <w:rFonts w:hint="eastAsia" w:eastAsia="仿宋_GB2312" w:cs="Times New Roman"/>
          <w:bCs/>
          <w:kern w:val="0"/>
          <w:sz w:val="32"/>
          <w:szCs w:val="32"/>
          <w:lang w:val="en-US" w:eastAsia="zh-CN"/>
        </w:rPr>
        <w:t>5</w:t>
      </w:r>
      <w:r>
        <w:rPr>
          <w:rFonts w:hint="default" w:ascii="Times New Roman" w:hAnsi="Times New Roman" w:eastAsia="仿宋_GB2312" w:cs="Times New Roman"/>
          <w:bCs/>
          <w:kern w:val="0"/>
          <w:sz w:val="32"/>
          <w:szCs w:val="32"/>
        </w:rPr>
        <w:t>个、来宾</w:t>
      </w:r>
      <w:r>
        <w:rPr>
          <w:rFonts w:hint="eastAsia" w:eastAsia="仿宋_GB2312" w:cs="Times New Roman"/>
          <w:bCs/>
          <w:kern w:val="0"/>
          <w:sz w:val="32"/>
          <w:szCs w:val="32"/>
          <w:lang w:val="en-US" w:eastAsia="zh-CN"/>
        </w:rPr>
        <w:t>45</w:t>
      </w:r>
      <w:r>
        <w:rPr>
          <w:rFonts w:hint="default" w:ascii="Times New Roman" w:hAnsi="Times New Roman" w:eastAsia="仿宋_GB2312" w:cs="Times New Roman"/>
          <w:bCs/>
          <w:kern w:val="0"/>
          <w:sz w:val="32"/>
          <w:szCs w:val="32"/>
        </w:rPr>
        <w:t>人次</w:t>
      </w:r>
      <w:r>
        <w:rPr>
          <w:rFonts w:hint="eastAsia" w:eastAsia="仿宋_GB2312" w:cs="Times New Roman"/>
          <w:bCs/>
          <w:kern w:val="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
          <w:bCs w:val="0"/>
          <w:kern w:val="0"/>
          <w:sz w:val="32"/>
          <w:szCs w:val="32"/>
        </w:rPr>
        <w:t xml:space="preserve">  八、202</w:t>
      </w:r>
      <w:r>
        <w:rPr>
          <w:rFonts w:hint="default" w:ascii="Times New Roman" w:hAnsi="Times New Roman" w:eastAsia="仿宋_GB2312" w:cs="Times New Roman"/>
          <w:b/>
          <w:kern w:val="0"/>
          <w:sz w:val="32"/>
          <w:szCs w:val="32"/>
        </w:rPr>
        <w:t>0 年度政府性基金预算财政拨款收入支出决算情况说明</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highlight w:val="none"/>
        </w:rPr>
      </w:pPr>
      <w:r>
        <w:rPr>
          <w:rFonts w:hint="default" w:ascii="Times New Roman" w:hAnsi="Times New Roman" w:eastAsia="仿宋_GB2312" w:cs="Times New Roman"/>
          <w:bCs/>
          <w:kern w:val="0"/>
          <w:sz w:val="32"/>
          <w:szCs w:val="32"/>
        </w:rPr>
        <w:t xml:space="preserve"> </w:t>
      </w:r>
      <w:r>
        <w:rPr>
          <w:rFonts w:hint="default" w:ascii="Times New Roman" w:hAnsi="Times New Roman" w:eastAsia="仿宋_GB2312" w:cs="Times New Roman"/>
          <w:bCs/>
          <w:kern w:val="0"/>
          <w:sz w:val="32"/>
          <w:szCs w:val="32"/>
          <w:highlight w:val="none"/>
        </w:rPr>
        <w:t xml:space="preserve">   本部门 2020年度政府基金预算财政拨款收、支总决算 </w:t>
      </w:r>
      <w:r>
        <w:rPr>
          <w:rFonts w:hint="eastAsia"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w:t>
      </w:r>
      <w:r>
        <w:rPr>
          <w:rFonts w:hint="eastAsia"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万元。与 2019 年相比，收、支总计各增加</w:t>
      </w:r>
      <w:r>
        <w:rPr>
          <w:rFonts w:hint="eastAsia"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万元，增长</w:t>
      </w:r>
      <w:r>
        <w:rPr>
          <w:rFonts w:hint="eastAsia" w:eastAsia="仿宋_GB2312" w:cs="Times New Roman"/>
          <w:bCs/>
          <w:kern w:val="0"/>
          <w:sz w:val="32"/>
          <w:szCs w:val="32"/>
          <w:highlight w:val="none"/>
          <w:lang w:val="en-US" w:eastAsia="zh-CN"/>
        </w:rPr>
        <w:t>0</w:t>
      </w:r>
      <w:r>
        <w:rPr>
          <w:rFonts w:hint="default" w:ascii="Times New Roman" w:hAnsi="Times New Roman" w:eastAsia="仿宋_GB2312" w:cs="Times New Roman"/>
          <w:bCs/>
          <w:kern w:val="0"/>
          <w:sz w:val="32"/>
          <w:szCs w:val="32"/>
          <w:highlight w:val="none"/>
        </w:rPr>
        <w:t>%。</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highlight w:val="none"/>
          <w:lang w:eastAsia="zh-CN"/>
        </w:rPr>
      </w:pPr>
      <w:r>
        <w:rPr>
          <w:rFonts w:hint="default" w:ascii="Times New Roman" w:hAnsi="Times New Roman" w:eastAsia="仿宋_GB2312" w:cs="Times New Roman"/>
          <w:b/>
          <w:kern w:val="0"/>
          <w:sz w:val="32"/>
          <w:szCs w:val="32"/>
          <w:highlight w:val="none"/>
          <w:lang w:eastAsia="zh-CN"/>
        </w:rPr>
        <w:t>国有资本经营预算财政拨款支出情况说明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 w:val="0"/>
          <w:bCs/>
          <w:kern w:val="0"/>
          <w:sz w:val="32"/>
          <w:szCs w:val="32"/>
          <w:highlight w:val="none"/>
          <w:lang w:val="en-US" w:eastAsia="zh-CN"/>
        </w:rPr>
      </w:pPr>
      <w:r>
        <w:rPr>
          <w:rFonts w:hint="default" w:ascii="Times New Roman" w:hAnsi="Times New Roman" w:eastAsia="仿宋_GB2312" w:cs="Times New Roman"/>
          <w:b w:val="0"/>
          <w:bCs/>
          <w:kern w:val="0"/>
          <w:sz w:val="32"/>
          <w:szCs w:val="32"/>
          <w:highlight w:val="none"/>
          <w:lang w:val="en-US" w:eastAsia="zh-CN"/>
        </w:rPr>
        <w:t>2020年度国有资本经营预算财政拨款本年支出</w:t>
      </w:r>
      <w:r>
        <w:rPr>
          <w:rFonts w:hint="eastAsia" w:eastAsia="仿宋_GB2312" w:cs="Times New Roman"/>
          <w:b w:val="0"/>
          <w:bCs/>
          <w:kern w:val="0"/>
          <w:sz w:val="32"/>
          <w:szCs w:val="32"/>
          <w:highlight w:val="none"/>
          <w:lang w:val="en-US" w:eastAsia="zh-CN"/>
        </w:rPr>
        <w:t>0</w:t>
      </w:r>
      <w:r>
        <w:rPr>
          <w:rFonts w:hint="default" w:ascii="Times New Roman" w:hAnsi="Times New Roman" w:eastAsia="仿宋_GB2312" w:cs="Times New Roman"/>
          <w:b w:val="0"/>
          <w:bCs/>
          <w:kern w:val="0"/>
          <w:sz w:val="32"/>
          <w:szCs w:val="32"/>
          <w:highlight w:val="none"/>
          <w:lang w:val="en-US" w:eastAsia="zh-CN"/>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lang w:eastAsia="zh-CN"/>
        </w:rPr>
        <w:t>十、</w:t>
      </w:r>
      <w:r>
        <w:rPr>
          <w:rFonts w:hint="default" w:ascii="Times New Roman" w:hAnsi="Times New Roman" w:eastAsia="仿宋_GB2312" w:cs="Times New Roman"/>
          <w:b/>
          <w:kern w:val="0"/>
          <w:sz w:val="32"/>
          <w:szCs w:val="32"/>
        </w:rPr>
        <w:t>2020 年度预算绩效情况说明</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绩效管理工作开展情况</w:t>
      </w:r>
    </w:p>
    <w:p>
      <w:pPr>
        <w:keepNext w:val="0"/>
        <w:keepLines w:val="0"/>
        <w:pageBreakBefore w:val="0"/>
        <w:widowControl w:val="0"/>
        <w:kinsoku/>
        <w:wordWrap/>
        <w:overflowPunct/>
        <w:topLinePunct w:val="0"/>
        <w:autoSpaceDE w:val="0"/>
        <w:autoSpaceDN w:val="0"/>
        <w:bidi w:val="0"/>
        <w:adjustRightInd w:val="0"/>
        <w:snapToGrid/>
        <w:spacing w:line="560" w:lineRule="exact"/>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 xml:space="preserve">    根据财政预算管理要求，我部门组织对2020年度一般公共预算项目支出全面开展绩效自评。</w:t>
      </w:r>
      <w:r>
        <w:rPr>
          <w:rFonts w:hint="eastAsia" w:eastAsia="仿宋_GB2312" w:cs="Times New Roman"/>
          <w:bCs/>
          <w:kern w:val="0"/>
          <w:sz w:val="32"/>
          <w:szCs w:val="32"/>
          <w:lang w:eastAsia="zh-CN"/>
        </w:rPr>
        <w:t>主管行政单位及二层事业单位均为整体支出绩效</w:t>
      </w:r>
      <w:r>
        <w:rPr>
          <w:rFonts w:hint="default" w:ascii="Times New Roman" w:hAnsi="Times New Roman" w:eastAsia="仿宋_GB2312" w:cs="Times New Roman"/>
          <w:bCs/>
          <w:kern w:val="0"/>
          <w:sz w:val="32"/>
          <w:szCs w:val="32"/>
        </w:rPr>
        <w:t>，共涉及预算资金</w:t>
      </w:r>
      <w:r>
        <w:rPr>
          <w:rFonts w:hint="eastAsia" w:eastAsia="仿宋_GB2312" w:cs="Times New Roman"/>
          <w:bCs/>
          <w:kern w:val="0"/>
          <w:sz w:val="32"/>
          <w:szCs w:val="32"/>
          <w:lang w:val="en-US" w:eastAsia="zh-CN"/>
        </w:rPr>
        <w:t>494.17</w:t>
      </w:r>
      <w:r>
        <w:rPr>
          <w:rFonts w:hint="default" w:ascii="Times New Roman" w:hAnsi="Times New Roman" w:eastAsia="仿宋_GB2312" w:cs="Times New Roman"/>
          <w:bCs/>
          <w:kern w:val="0"/>
          <w:sz w:val="32"/>
          <w:szCs w:val="32"/>
        </w:rPr>
        <w:t>万元，自评覆盖率达到</w:t>
      </w:r>
      <w:r>
        <w:rPr>
          <w:rFonts w:hint="eastAsia" w:eastAsia="仿宋_GB2312" w:cs="Times New Roman"/>
          <w:bCs/>
          <w:kern w:val="0"/>
          <w:sz w:val="32"/>
          <w:szCs w:val="32"/>
          <w:lang w:val="en-US" w:eastAsia="zh-CN"/>
        </w:rPr>
        <w:t>83.15</w:t>
      </w:r>
      <w:r>
        <w:rPr>
          <w:rFonts w:hint="default" w:ascii="Times New Roman" w:hAnsi="Times New Roman" w:eastAsia="仿宋_GB2312" w:cs="Times New Roman"/>
          <w:bCs/>
          <w:kern w:val="0"/>
          <w:sz w:val="32"/>
          <w:szCs w:val="32"/>
        </w:rPr>
        <w:t xml:space="preserve">%） </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560" w:lineRule="exact"/>
        <w:ind w:left="0" w:leftChars="0" w:firstLine="640" w:firstLineChars="200"/>
        <w:jc w:val="left"/>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部门决算中项目绩效自评结果。</w:t>
      </w:r>
    </w:p>
    <w:p>
      <w:pPr>
        <w:keepNext w:val="0"/>
        <w:keepLines w:val="0"/>
        <w:pageBreakBefore w:val="0"/>
        <w:widowControl w:val="0"/>
        <w:numPr>
          <w:numId w:val="0"/>
        </w:numPr>
        <w:kinsoku/>
        <w:wordWrap/>
        <w:overflowPunct/>
        <w:topLinePunct w:val="0"/>
        <w:autoSpaceDE w:val="0"/>
        <w:autoSpaceDN w:val="0"/>
        <w:bidi w:val="0"/>
        <w:adjustRightInd w:val="0"/>
        <w:snapToGrid/>
        <w:spacing w:line="560" w:lineRule="exact"/>
        <w:ind w:leftChars="200"/>
        <w:jc w:val="left"/>
        <w:textAlignment w:val="auto"/>
        <w:rPr>
          <w:rFonts w:hint="eastAsia" w:ascii="Times New Roman" w:hAnsi="Times New Roman" w:eastAsia="仿宋_GB2312" w:cs="Times New Roman"/>
          <w:bCs/>
          <w:kern w:val="0"/>
          <w:sz w:val="32"/>
          <w:szCs w:val="32"/>
          <w:lang w:eastAsia="zh-CN"/>
        </w:rPr>
      </w:pPr>
      <w:r>
        <w:rPr>
          <w:rFonts w:hint="eastAsia" w:eastAsia="仿宋_GB2312" w:cs="Times New Roman"/>
          <w:bCs/>
          <w:kern w:val="0"/>
          <w:sz w:val="32"/>
          <w:szCs w:val="32"/>
          <w:lang w:eastAsia="zh-CN"/>
        </w:rPr>
        <w:t>我部门无项目绩效。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left"/>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十</w:t>
      </w:r>
      <w:r>
        <w:rPr>
          <w:rFonts w:hint="default" w:ascii="Times New Roman" w:hAnsi="Times New Roman" w:eastAsia="仿宋_GB2312" w:cs="Times New Roman"/>
          <w:b/>
          <w:kern w:val="0"/>
          <w:sz w:val="32"/>
          <w:szCs w:val="32"/>
          <w:lang w:eastAsia="zh-CN"/>
        </w:rPr>
        <w:t>一</w:t>
      </w:r>
      <w:r>
        <w:rPr>
          <w:rFonts w:hint="default" w:ascii="Times New Roman" w:hAnsi="Times New Roman" w:eastAsia="仿宋_GB2312" w:cs="Times New Roman"/>
          <w:b/>
          <w:kern w:val="0"/>
          <w:sz w:val="32"/>
          <w:szCs w:val="32"/>
        </w:rPr>
        <w:t>、其他重要事项的情况</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（一）机关运行经费支出情况。2020年度部门机关运行经费支出</w:t>
      </w:r>
      <w:r>
        <w:rPr>
          <w:rFonts w:hint="eastAsia" w:eastAsia="仿宋_GB2312" w:cs="Times New Roman"/>
          <w:kern w:val="0"/>
          <w:sz w:val="32"/>
          <w:szCs w:val="32"/>
          <w:lang w:val="en-US" w:eastAsia="zh-CN"/>
        </w:rPr>
        <w:t>30.32</w:t>
      </w:r>
      <w:r>
        <w:rPr>
          <w:rFonts w:hint="default" w:ascii="Times New Roman" w:hAnsi="Times New Roman" w:eastAsia="仿宋_GB2312" w:cs="Times New Roman"/>
          <w:kern w:val="0"/>
          <w:sz w:val="32"/>
          <w:szCs w:val="32"/>
        </w:rPr>
        <w:t>万元，比 2019年增加</w:t>
      </w:r>
      <w:r>
        <w:rPr>
          <w:rFonts w:hint="eastAsia" w:eastAsia="仿宋_GB2312" w:cs="Times New Roman"/>
          <w:kern w:val="0"/>
          <w:sz w:val="32"/>
          <w:szCs w:val="32"/>
          <w:lang w:val="en-US" w:eastAsia="zh-CN"/>
        </w:rPr>
        <w:t>4.17</w:t>
      </w:r>
      <w:r>
        <w:rPr>
          <w:rFonts w:hint="default" w:ascii="Times New Roman" w:hAnsi="Times New Roman" w:eastAsia="仿宋_GB2312" w:cs="Times New Roman"/>
          <w:kern w:val="0"/>
          <w:sz w:val="32"/>
          <w:szCs w:val="32"/>
        </w:rPr>
        <w:t>万元，增长</w:t>
      </w:r>
      <w:r>
        <w:rPr>
          <w:rFonts w:hint="eastAsia" w:eastAsia="仿宋_GB2312" w:cs="Times New Roman"/>
          <w:kern w:val="0"/>
          <w:sz w:val="32"/>
          <w:szCs w:val="32"/>
          <w:lang w:val="en-US" w:eastAsia="zh-CN"/>
        </w:rPr>
        <w:t>15.95</w:t>
      </w:r>
      <w:r>
        <w:rPr>
          <w:rFonts w:hint="default" w:ascii="Times New Roman" w:hAnsi="Times New Roman" w:eastAsia="仿宋_GB2312" w:cs="Times New Roman"/>
          <w:kern w:val="0"/>
          <w:sz w:val="32"/>
          <w:szCs w:val="32"/>
        </w:rPr>
        <w:t>%，增（减）原因</w:t>
      </w:r>
      <w:r>
        <w:rPr>
          <w:rFonts w:hint="eastAsia" w:eastAsia="仿宋_GB2312" w:cs="Times New Roman"/>
          <w:kern w:val="0"/>
          <w:sz w:val="32"/>
          <w:szCs w:val="32"/>
          <w:lang w:val="en-US" w:eastAsia="zh-CN"/>
        </w:rPr>
        <w:t>2020年本部门预算新增在编人员5名</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（二）政府采购支出情况。2020年度部门政府采购支出总额</w:t>
      </w:r>
      <w:r>
        <w:rPr>
          <w:rFonts w:hint="eastAsia" w:eastAsia="仿宋_GB2312" w:cs="Times New Roman"/>
          <w:kern w:val="0"/>
          <w:sz w:val="32"/>
          <w:szCs w:val="32"/>
          <w:lang w:val="en-US" w:eastAsia="zh-CN"/>
        </w:rPr>
        <w:t>13.62</w:t>
      </w:r>
      <w:r>
        <w:rPr>
          <w:rFonts w:hint="default" w:ascii="Times New Roman" w:hAnsi="Times New Roman" w:eastAsia="仿宋_GB2312" w:cs="Times New Roman"/>
          <w:kern w:val="0"/>
          <w:sz w:val="32"/>
          <w:szCs w:val="32"/>
        </w:rPr>
        <w:t>万元，其中：货物支出</w:t>
      </w:r>
      <w:r>
        <w:rPr>
          <w:rFonts w:hint="eastAsia" w:eastAsia="仿宋_GB2312" w:cs="Times New Roman"/>
          <w:kern w:val="0"/>
          <w:sz w:val="32"/>
          <w:szCs w:val="32"/>
          <w:lang w:val="en-US" w:eastAsia="zh-CN"/>
        </w:rPr>
        <w:t>13.62</w:t>
      </w:r>
      <w:r>
        <w:rPr>
          <w:rFonts w:hint="default" w:ascii="Times New Roman" w:hAnsi="Times New Roman" w:eastAsia="仿宋_GB2312" w:cs="Times New Roman"/>
          <w:kern w:val="0"/>
          <w:sz w:val="32"/>
          <w:szCs w:val="32"/>
        </w:rPr>
        <w:t>万元、工程支出</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万元、服务支出</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27" w:firstLineChars="196"/>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（三）国有资产占用情况。截至年末部门共有车辆</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辆，其中：公务用车</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辆；执法执勤用车</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辆；专业技术用车</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 以上通用设备</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 万元以上专用设备</w:t>
      </w:r>
      <w:r>
        <w:rPr>
          <w:rFonts w:hint="eastAsia"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xml:space="preserve">台（套）。 </w:t>
      </w:r>
    </w:p>
    <w:p>
      <w:pPr>
        <w:keepNext w:val="0"/>
        <w:keepLines w:val="0"/>
        <w:pageBreakBefore w:val="0"/>
        <w:widowControl w:val="0"/>
        <w:kinsoku/>
        <w:wordWrap/>
        <w:overflowPunct/>
        <w:topLinePunct w:val="0"/>
        <w:bidi w:val="0"/>
        <w:snapToGrid/>
        <w:spacing w:line="560" w:lineRule="exact"/>
        <w:ind w:firstLine="645"/>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第四部分：名词解释</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财政拨款收入：指市本级财政当年拨付的资金。</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事业收入：指事业单位开展专业活动用辅助活动所取得的收入。</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经营收入：指事业单位在专业业务活动及辅助活动之外开展非独立核算经营活动取得的收入。</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其他收入：指除上述“财政拨款收入”、“事业收入”、“经营收入”等以外的收入。</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使用非财政拨款结余</w:t>
      </w:r>
      <w:r>
        <w:rPr>
          <w:rFonts w:hint="default" w:ascii="Times New Roman" w:hAnsi="Times New Roman" w:eastAsia="仿宋_GB2312" w:cs="Times New Roman"/>
          <w:bCs/>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年初结转和结余：指以前年度尚未完成、结转到本年按规定继续使用的资金。</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结余分配：指事业单位按规定提取的职工福利基金、事业基金和缴纳的所得税，以及建设单位按规定应交回的基本建设竣工项目结余资金。</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年末结转和结余：指本年度或以前年度预算安排、因客观条件发生变化无法按原计划实施，需延迟到以后年度按有关规定继续使用的资金。</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基本支出：指为保障机构正常运转、完成日常工作任务而发生的人员支出和公用支出。</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项目支出：指在基本支出之外为完成特定行政任务和事业发展目标所发生的支出。</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经营支出：指事业单位在专业业务活动及其辅助活动之外开展非独立核算经营活动发生的支出。</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三公”经费：纳入市本级财政预决算管理的“三公”经费，是指市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val="0"/>
        <w:numPr>
          <w:ilvl w:val="0"/>
          <w:numId w:val="3"/>
        </w:numPr>
        <w:kinsoku/>
        <w:wordWrap/>
        <w:overflowPunct/>
        <w:topLinePunct w:val="0"/>
        <w:bidi w:val="0"/>
        <w:snapToGrid/>
        <w:spacing w:line="560" w:lineRule="exact"/>
        <w:ind w:firstLine="645"/>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p>
      <w:pPr>
        <w:rPr>
          <w:rFonts w:hint="default" w:ascii="Times New Roman" w:hAnsi="Times New Roman" w:cs="Times New Roman"/>
        </w:rPr>
      </w:pP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 w:name="AdLib WGL4 BT">
    <w:panose1 w:val="04040805040B02020603"/>
    <w:charset w:val="00"/>
    <w:family w:val="auto"/>
    <w:pitch w:val="default"/>
    <w:sig w:usb0="00000287" w:usb1="00000000" w:usb2="00000000" w:usb3="00000000" w:csb0="4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80"/>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ind w:firstLine="480"/>
                            <w:jc w:val="cente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ind w:firstLine="480"/>
                      <w:jc w:val="center"/>
                    </w:pPr>
                    <w:r>
                      <w:rPr>
                        <w:rFonts w:hint="eastAsia"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5</w:t>
                    </w:r>
                    <w:r>
                      <w:rPr>
                        <w:rFonts w:ascii="宋体" w:hAnsi="宋体"/>
                        <w:sz w:val="24"/>
                        <w:szCs w:val="24"/>
                      </w:rPr>
                      <w:fldChar w:fldCharType="end"/>
                    </w:r>
                    <w:r>
                      <w:rPr>
                        <w:rFonts w:hint="eastAsia" w:ascii="宋体" w:hAnsi="宋体"/>
                        <w:sz w:val="24"/>
                        <w:szCs w:val="24"/>
                      </w:rPr>
                      <w:t xml:space="preserve"> -</w:t>
                    </w:r>
                  </w:p>
                </w:txbxContent>
              </v:textbox>
            </v:shape>
          </w:pict>
        </mc:Fallback>
      </mc:AlternateContent>
    </w:r>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Style w:val="7"/>
                        <w:sz w:val="30"/>
                        <w:szCs w:val="30"/>
                      </w:rPr>
                    </w:pPr>
                    <w:r>
                      <w:rPr>
                        <w:sz w:val="30"/>
                        <w:szCs w:val="30"/>
                      </w:rPr>
                      <w:fldChar w:fldCharType="begin"/>
                    </w:r>
                    <w:r>
                      <w:rPr>
                        <w:rStyle w:val="7"/>
                        <w:sz w:val="30"/>
                        <w:szCs w:val="30"/>
                      </w:rPr>
                      <w:instrText xml:space="preserve">PAGE  </w:instrText>
                    </w:r>
                    <w:r>
                      <w:rPr>
                        <w:sz w:val="30"/>
                        <w:szCs w:val="30"/>
                      </w:rPr>
                      <w:fldChar w:fldCharType="separate"/>
                    </w:r>
                    <w:r>
                      <w:rPr>
                        <w:rStyle w:val="7"/>
                        <w:sz w:val="30"/>
                        <w:szCs w:val="30"/>
                      </w:rPr>
                      <w:t>- 13 -</w:t>
                    </w:r>
                    <w:r>
                      <w:rPr>
                        <w:sz w:val="30"/>
                        <w:szCs w:val="3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E06CE2"/>
    <w:multiLevelType w:val="singleLevel"/>
    <w:tmpl w:val="98E06CE2"/>
    <w:lvl w:ilvl="0" w:tentative="0">
      <w:start w:val="9"/>
      <w:numFmt w:val="chineseCounting"/>
      <w:suff w:val="nothing"/>
      <w:lvlText w:val="%1、"/>
      <w:lvlJc w:val="left"/>
      <w:rPr>
        <w:rFonts w:hint="eastAsia"/>
      </w:rPr>
    </w:lvl>
  </w:abstractNum>
  <w:abstractNum w:abstractNumId="1">
    <w:nsid w:val="5B3C894F"/>
    <w:multiLevelType w:val="singleLevel"/>
    <w:tmpl w:val="5B3C894F"/>
    <w:lvl w:ilvl="0" w:tentative="0">
      <w:start w:val="1"/>
      <w:numFmt w:val="chineseCounting"/>
      <w:suff w:val="nothing"/>
      <w:lvlText w:val="（%1）"/>
      <w:lvlJc w:val="left"/>
    </w:lvl>
  </w:abstractNum>
  <w:abstractNum w:abstractNumId="2">
    <w:nsid w:val="5B3C8BA7"/>
    <w:multiLevelType w:val="singleLevel"/>
    <w:tmpl w:val="5B3C8BA7"/>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56E3D"/>
    <w:rsid w:val="00066CA3"/>
    <w:rsid w:val="006C1367"/>
    <w:rsid w:val="00715385"/>
    <w:rsid w:val="00F66C5B"/>
    <w:rsid w:val="09042C7C"/>
    <w:rsid w:val="09685D77"/>
    <w:rsid w:val="0AEB5C29"/>
    <w:rsid w:val="0E074DDF"/>
    <w:rsid w:val="124204B5"/>
    <w:rsid w:val="124D1CEA"/>
    <w:rsid w:val="13644C1B"/>
    <w:rsid w:val="13E32925"/>
    <w:rsid w:val="15080ABC"/>
    <w:rsid w:val="182962AB"/>
    <w:rsid w:val="1877697F"/>
    <w:rsid w:val="19D073EB"/>
    <w:rsid w:val="1BDF4099"/>
    <w:rsid w:val="1CC31F67"/>
    <w:rsid w:val="247D69A5"/>
    <w:rsid w:val="24D337DC"/>
    <w:rsid w:val="26460DBA"/>
    <w:rsid w:val="2B6F74EB"/>
    <w:rsid w:val="2C4219FE"/>
    <w:rsid w:val="2EAB72F9"/>
    <w:rsid w:val="2FCE081E"/>
    <w:rsid w:val="30B17245"/>
    <w:rsid w:val="30BC13C2"/>
    <w:rsid w:val="34020F86"/>
    <w:rsid w:val="356927DE"/>
    <w:rsid w:val="38F44705"/>
    <w:rsid w:val="39A63F06"/>
    <w:rsid w:val="39F86E06"/>
    <w:rsid w:val="3D782167"/>
    <w:rsid w:val="3ED1439F"/>
    <w:rsid w:val="48374EDC"/>
    <w:rsid w:val="4C256E3D"/>
    <w:rsid w:val="4CB52F0F"/>
    <w:rsid w:val="5017715C"/>
    <w:rsid w:val="524F4D56"/>
    <w:rsid w:val="532F1F9A"/>
    <w:rsid w:val="578F5937"/>
    <w:rsid w:val="5C3A2D91"/>
    <w:rsid w:val="5D2C3F78"/>
    <w:rsid w:val="5E995A3E"/>
    <w:rsid w:val="5EBB5129"/>
    <w:rsid w:val="5FB20159"/>
    <w:rsid w:val="62163194"/>
    <w:rsid w:val="624D024D"/>
    <w:rsid w:val="649D5D8A"/>
    <w:rsid w:val="64E27E7B"/>
    <w:rsid w:val="650E086A"/>
    <w:rsid w:val="66CE06D4"/>
    <w:rsid w:val="6BAA0708"/>
    <w:rsid w:val="6BCC1EBF"/>
    <w:rsid w:val="6FAE43D8"/>
    <w:rsid w:val="75C359FA"/>
    <w:rsid w:val="77686CE7"/>
    <w:rsid w:val="7918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qFormat/>
    <w:uiPriority w:val="0"/>
    <w:rPr>
      <w:kern w:val="2"/>
      <w:sz w:val="18"/>
      <w:szCs w:val="18"/>
    </w:rPr>
  </w:style>
  <w:style w:type="character" w:customStyle="1" w:styleId="9">
    <w:name w:val="font11"/>
    <w:basedOn w:val="6"/>
    <w:qFormat/>
    <w:uiPriority w:val="0"/>
    <w:rPr>
      <w:rFonts w:hint="eastAsia" w:ascii="宋体" w:hAnsi="宋体" w:eastAsia="宋体" w:cs="宋体"/>
      <w:color w:val="000000"/>
      <w:sz w:val="22"/>
      <w:szCs w:val="22"/>
      <w:u w:val="none"/>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1277</Words>
  <Characters>7280</Characters>
  <Lines>60</Lines>
  <Paragraphs>17</Paragraphs>
  <TotalTime>8</TotalTime>
  <ScaleCrop>false</ScaleCrop>
  <LinksUpToDate>false</LinksUpToDate>
  <CharactersWithSpaces>8540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2020-07-15T08:43:00Z</dcterms:created>
  <dc:creator>陈冬雪</dc:creator>
  <cp:lastModifiedBy>lenovo</cp:lastModifiedBy>
  <cp:lastPrinted>2021-07-19T08:28:18Z</cp:lastPrinted>
  <dcterms:modified xsi:type="dcterms:W3CDTF">2021-07-19T08:31:23Z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98EE652084264FDC9545472B30953730</vt:lpwstr>
  </property>
</Properties>
</file>